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A978AE">
      <w:pPr>
        <w:jc w:val="center"/>
        <w:rPr>
          <w:rFonts w:ascii="黑体" w:eastAsia="黑体"/>
          <w:b/>
          <w:sz w:val="30"/>
          <w:szCs w:val="30"/>
        </w:rPr>
      </w:pPr>
      <w:r>
        <w:rPr>
          <w:rFonts w:hint="eastAsia" w:ascii="黑体" w:eastAsia="黑体"/>
          <w:b/>
          <w:sz w:val="30"/>
          <w:szCs w:val="30"/>
        </w:rPr>
        <w:t>物流管理</w:t>
      </w:r>
      <w:r>
        <w:rPr>
          <w:rFonts w:hint="eastAsia" w:ascii="宋体"/>
          <w:b/>
          <w:sz w:val="30"/>
          <w:szCs w:val="30"/>
        </w:rPr>
        <w:t>专业毕业设计</w:t>
      </w:r>
      <w:r>
        <w:rPr>
          <w:rFonts w:ascii="宋体"/>
          <w:b/>
          <w:sz w:val="30"/>
          <w:szCs w:val="30"/>
        </w:rPr>
        <w:t>（</w:t>
      </w:r>
      <w:r>
        <w:rPr>
          <w:rFonts w:hint="eastAsia" w:ascii="宋体"/>
          <w:b/>
          <w:sz w:val="30"/>
          <w:szCs w:val="30"/>
        </w:rPr>
        <w:t>论文</w:t>
      </w:r>
      <w:r>
        <w:rPr>
          <w:rFonts w:ascii="宋体"/>
          <w:b/>
          <w:sz w:val="30"/>
          <w:szCs w:val="30"/>
        </w:rPr>
        <w:t>）教学大纲</w:t>
      </w:r>
    </w:p>
    <w:p w14:paraId="0E7DFB5A">
      <w:pPr>
        <w:spacing w:line="360" w:lineRule="auto"/>
        <w:jc w:val="left"/>
        <w:rPr>
          <w:sz w:val="24"/>
          <w:szCs w:val="24"/>
        </w:rPr>
      </w:pPr>
    </w:p>
    <w:p w14:paraId="1BDEBBC8">
      <w:pPr>
        <w:pStyle w:val="2"/>
        <w:spacing w:before="120" w:after="120" w:line="240" w:lineRule="auto"/>
        <w:rPr>
          <w:rFonts w:ascii="黑体" w:hAnsi="黑体" w:eastAsia="黑体"/>
          <w:b w:val="0"/>
          <w:bCs w:val="0"/>
          <w:sz w:val="28"/>
          <w:szCs w:val="28"/>
        </w:rPr>
      </w:pPr>
      <w:bookmarkStart w:id="0" w:name="_GoBack"/>
      <w:bookmarkEnd w:id="0"/>
      <w:r>
        <w:rPr>
          <w:rFonts w:hint="eastAsia" w:ascii="黑体" w:hAnsi="黑体" w:eastAsia="黑体"/>
          <w:b w:val="0"/>
          <w:bCs w:val="0"/>
          <w:sz w:val="28"/>
          <w:szCs w:val="28"/>
        </w:rPr>
        <w:t>一、课程基本信息</w:t>
      </w:r>
    </w:p>
    <w:p w14:paraId="2F7AA26B">
      <w:pPr>
        <w:spacing w:line="360" w:lineRule="auto"/>
        <w:ind w:left="479" w:leftChars="228"/>
        <w:jc w:val="left"/>
        <w:rPr>
          <w:sz w:val="24"/>
          <w:szCs w:val="24"/>
        </w:rPr>
      </w:pPr>
      <w:r>
        <w:rPr>
          <w:rFonts w:hint="eastAsia"/>
          <w:sz w:val="24"/>
          <w:szCs w:val="24"/>
        </w:rPr>
        <w:t>1. 课程编号：</w:t>
      </w:r>
      <w:r>
        <w:rPr>
          <w:sz w:val="24"/>
          <w:szCs w:val="24"/>
        </w:rPr>
        <w:t>P40300</w:t>
      </w:r>
      <w:r>
        <w:rPr>
          <w:rFonts w:hint="eastAsia"/>
          <w:sz w:val="24"/>
          <w:szCs w:val="24"/>
        </w:rPr>
        <w:t>7</w:t>
      </w:r>
      <w:r>
        <w:rPr>
          <w:sz w:val="24"/>
          <w:szCs w:val="24"/>
        </w:rPr>
        <w:t>B</w:t>
      </w:r>
    </w:p>
    <w:p w14:paraId="1725BF52">
      <w:pPr>
        <w:spacing w:line="360" w:lineRule="auto"/>
        <w:ind w:left="479" w:leftChars="228"/>
        <w:jc w:val="left"/>
        <w:rPr>
          <w:sz w:val="24"/>
          <w:szCs w:val="24"/>
        </w:rPr>
      </w:pPr>
      <w:r>
        <w:rPr>
          <w:rFonts w:hint="eastAsia"/>
          <w:sz w:val="24"/>
          <w:szCs w:val="24"/>
        </w:rPr>
        <w:t>2. 课程层次：本科</w:t>
      </w:r>
    </w:p>
    <w:p w14:paraId="7CE8007B">
      <w:pPr>
        <w:spacing w:line="360" w:lineRule="auto"/>
        <w:ind w:left="479" w:leftChars="228"/>
        <w:jc w:val="left"/>
        <w:rPr>
          <w:sz w:val="24"/>
          <w:szCs w:val="24"/>
        </w:rPr>
      </w:pPr>
      <w:r>
        <w:rPr>
          <w:rFonts w:hint="eastAsia"/>
          <w:sz w:val="24"/>
          <w:szCs w:val="24"/>
        </w:rPr>
        <w:t>3. 课程性质：创新实践平台</w:t>
      </w:r>
    </w:p>
    <w:p w14:paraId="2E3D03FD">
      <w:pPr>
        <w:spacing w:line="360" w:lineRule="auto"/>
        <w:ind w:left="479" w:leftChars="228"/>
        <w:jc w:val="left"/>
        <w:rPr>
          <w:sz w:val="24"/>
          <w:szCs w:val="24"/>
        </w:rPr>
      </w:pPr>
      <w:r>
        <w:rPr>
          <w:rFonts w:hint="eastAsia"/>
          <w:sz w:val="24"/>
          <w:szCs w:val="24"/>
        </w:rPr>
        <w:t>4. 学时/学分：</w:t>
      </w:r>
      <w:r>
        <w:rPr>
          <w:sz w:val="24"/>
          <w:szCs w:val="24"/>
        </w:rPr>
        <w:t>300/15</w:t>
      </w:r>
      <w:r>
        <w:rPr>
          <w:rFonts w:hint="eastAsia"/>
          <w:sz w:val="24"/>
          <w:szCs w:val="24"/>
        </w:rPr>
        <w:cr/>
      </w:r>
      <w:r>
        <w:rPr>
          <w:rFonts w:hint="eastAsia"/>
          <w:sz w:val="24"/>
          <w:szCs w:val="24"/>
        </w:rPr>
        <w:t>5. 适用专业：物流管理</w:t>
      </w:r>
    </w:p>
    <w:p w14:paraId="2E49A4F4">
      <w:pPr>
        <w:spacing w:line="360" w:lineRule="auto"/>
        <w:rPr>
          <w:rFonts w:ascii="宋体"/>
          <w:b/>
          <w:sz w:val="24"/>
          <w:szCs w:val="24"/>
        </w:rPr>
      </w:pPr>
    </w:p>
    <w:p w14:paraId="11C6055B">
      <w:pPr>
        <w:pStyle w:val="2"/>
        <w:spacing w:before="120" w:after="120" w:line="240" w:lineRule="auto"/>
        <w:rPr>
          <w:rFonts w:ascii="黑体" w:hAnsi="黑体" w:eastAsia="黑体"/>
          <w:b w:val="0"/>
          <w:bCs w:val="0"/>
          <w:sz w:val="28"/>
          <w:szCs w:val="28"/>
        </w:rPr>
      </w:pPr>
      <w:r>
        <w:rPr>
          <w:rFonts w:hint="eastAsia" w:ascii="黑体" w:hAnsi="黑体" w:eastAsia="黑体"/>
          <w:b w:val="0"/>
          <w:bCs w:val="0"/>
          <w:sz w:val="28"/>
          <w:szCs w:val="28"/>
        </w:rPr>
        <w:t>二、毕业设计（论文）的教学目标及学生应达到的能力</w:t>
      </w:r>
    </w:p>
    <w:p w14:paraId="2770ACF7">
      <w:pPr>
        <w:spacing w:line="360" w:lineRule="auto"/>
        <w:ind w:firstLine="480" w:firstLineChars="200"/>
        <w:rPr>
          <w:rFonts w:ascii="宋体" w:hAnsi="宋体"/>
          <w:sz w:val="24"/>
          <w:szCs w:val="24"/>
        </w:rPr>
      </w:pPr>
      <w:r>
        <w:rPr>
          <w:rFonts w:hint="eastAsia" w:ascii="宋体" w:hAnsi="宋体"/>
          <w:sz w:val="24"/>
          <w:szCs w:val="24"/>
        </w:rPr>
        <w:t>物流管理专业毕业设计（论文）是学生在教师的指导下，深化专业学习、拓宽视野、综合运用所学知识解决物流和供应链领域问题的重要过程，也是对学生综合基础知识、专业基础知识、专业技能以及综合能力的检验，同时也应能够进一步引导学生掌握科学的世界观和方法论，提升思想品德和社会公德，培育家国情怀、社会责任感和职业责任感等非技术能力。毕业设计（论文）质量不仅是学生毕业和学位资格认定的重要依据，也是衡量专业教学质量的重要评价指标。</w:t>
      </w:r>
    </w:p>
    <w:p w14:paraId="311C1295">
      <w:pPr>
        <w:spacing w:line="360" w:lineRule="auto"/>
        <w:ind w:firstLine="480" w:firstLineChars="200"/>
        <w:rPr>
          <w:rFonts w:ascii="宋体" w:hAnsi="宋体"/>
          <w:sz w:val="24"/>
          <w:szCs w:val="24"/>
        </w:rPr>
      </w:pPr>
      <w:r>
        <w:rPr>
          <w:rFonts w:hint="eastAsia" w:ascii="宋体" w:hAnsi="宋体"/>
          <w:sz w:val="24"/>
          <w:szCs w:val="24"/>
        </w:rPr>
        <w:t>本课程的主要任务是通过开题报告、论文等文档的绘制及撰写，毕业答辩等环节，培养学生在物流管理相关领域内，运用所学知识，利用现代工具，使用物流管理专业相关的法律、法规、专业规范、技术规程等，解决物流管理实践问题的能力；评价物流管理实践对环境、社会及其可持续发展等方面的影响，并制定相应的解决方案的能力等。课程目标及学生应达到的能力要求具体如下：</w:t>
      </w:r>
    </w:p>
    <w:p w14:paraId="497CAA87">
      <w:pPr>
        <w:spacing w:line="360" w:lineRule="auto"/>
        <w:ind w:firstLine="480" w:firstLineChars="200"/>
        <w:rPr>
          <w:rFonts w:ascii="宋体" w:hAnsi="宋体"/>
          <w:sz w:val="24"/>
          <w:szCs w:val="24"/>
        </w:rPr>
      </w:pPr>
      <w:r>
        <w:rPr>
          <w:rFonts w:hint="eastAsia" w:ascii="宋体" w:hAnsi="宋体"/>
          <w:sz w:val="24"/>
          <w:szCs w:val="24"/>
        </w:rPr>
        <w:t>课程目标</w:t>
      </w:r>
      <w:r>
        <w:rPr>
          <w:rFonts w:ascii="宋体" w:hAnsi="宋体"/>
          <w:sz w:val="24"/>
          <w:szCs w:val="24"/>
        </w:rPr>
        <w:t>1</w:t>
      </w:r>
      <w:r>
        <w:rPr>
          <w:rFonts w:hint="eastAsia" w:ascii="宋体" w:hAnsi="宋体"/>
          <w:sz w:val="24"/>
          <w:szCs w:val="24"/>
        </w:rPr>
        <w:t>、毕业论文</w:t>
      </w:r>
      <w:r>
        <w:rPr>
          <w:rFonts w:ascii="宋体" w:hAnsi="宋体"/>
          <w:sz w:val="24"/>
          <w:szCs w:val="24"/>
        </w:rPr>
        <w:t>撰写</w:t>
      </w:r>
      <w:r>
        <w:rPr>
          <w:rFonts w:hint="eastAsia" w:ascii="宋体" w:hAnsi="宋体"/>
          <w:sz w:val="24"/>
          <w:szCs w:val="24"/>
        </w:rPr>
        <w:t>过程中，指导教师应进一步加强学生的品德修养，使其</w:t>
      </w:r>
      <w:r>
        <w:rPr>
          <w:rFonts w:ascii="宋体" w:hAnsi="宋体"/>
          <w:sz w:val="24"/>
          <w:szCs w:val="24"/>
        </w:rPr>
        <w:t>具有家国情怀</w:t>
      </w:r>
      <w:r>
        <w:rPr>
          <w:rFonts w:hint="eastAsia" w:ascii="宋体" w:hAnsi="宋体"/>
          <w:sz w:val="24"/>
          <w:szCs w:val="24"/>
        </w:rPr>
        <w:t>、</w:t>
      </w:r>
      <w:r>
        <w:rPr>
          <w:rFonts w:ascii="宋体" w:hAnsi="宋体"/>
          <w:sz w:val="24"/>
          <w:szCs w:val="24"/>
        </w:rPr>
        <w:t>社会责任感</w:t>
      </w:r>
      <w:r>
        <w:rPr>
          <w:rFonts w:hint="eastAsia" w:ascii="宋体" w:hAnsi="宋体"/>
          <w:sz w:val="24"/>
          <w:szCs w:val="24"/>
        </w:rPr>
        <w:t>和职业责任感以及规范意识</w:t>
      </w:r>
      <w:r>
        <w:rPr>
          <w:rFonts w:ascii="宋体" w:hAnsi="宋体"/>
          <w:sz w:val="24"/>
          <w:szCs w:val="24"/>
        </w:rPr>
        <w:t>，能够践行社会主义核心价值观</w:t>
      </w:r>
      <w:r>
        <w:rPr>
          <w:rFonts w:hint="eastAsia" w:ascii="宋体" w:hAnsi="宋体"/>
          <w:sz w:val="24"/>
          <w:szCs w:val="24"/>
        </w:rPr>
        <w:t>。</w:t>
      </w:r>
    </w:p>
    <w:p w14:paraId="64812872">
      <w:pPr>
        <w:spacing w:line="360" w:lineRule="auto"/>
        <w:ind w:firstLine="480" w:firstLineChars="200"/>
        <w:rPr>
          <w:rFonts w:ascii="宋体" w:hAnsi="宋体"/>
          <w:sz w:val="24"/>
          <w:szCs w:val="24"/>
        </w:rPr>
      </w:pPr>
      <w:r>
        <w:rPr>
          <w:rFonts w:hint="eastAsia" w:ascii="宋体" w:hAnsi="宋体"/>
          <w:sz w:val="24"/>
          <w:szCs w:val="24"/>
        </w:rPr>
        <w:t>课程目标</w:t>
      </w:r>
      <w:r>
        <w:rPr>
          <w:rFonts w:ascii="宋体" w:hAnsi="宋体"/>
          <w:sz w:val="24"/>
          <w:szCs w:val="24"/>
        </w:rPr>
        <w:t>2</w:t>
      </w:r>
      <w:r>
        <w:rPr>
          <w:rFonts w:hint="eastAsia" w:ascii="宋体" w:hAnsi="宋体"/>
          <w:sz w:val="24"/>
          <w:szCs w:val="24"/>
        </w:rPr>
        <w:t>、学生应能够通过分析国内外文献，了解物流管理问题的研究背景、意义和动态，利用综合基础知识及专业基础知识，发现并分析问题，并提出针对性强、可操作的解决方案，完成文献综述和开题报告。</w:t>
      </w:r>
    </w:p>
    <w:p w14:paraId="3188BFB9">
      <w:pPr>
        <w:spacing w:line="360" w:lineRule="auto"/>
        <w:ind w:firstLine="480" w:firstLineChars="200"/>
        <w:rPr>
          <w:rFonts w:ascii="宋体" w:hAnsi="宋体"/>
          <w:sz w:val="24"/>
          <w:szCs w:val="24"/>
        </w:rPr>
      </w:pPr>
      <w:r>
        <w:rPr>
          <w:rFonts w:hint="eastAsia" w:ascii="宋体" w:hAnsi="宋体"/>
          <w:sz w:val="24"/>
          <w:szCs w:val="24"/>
        </w:rPr>
        <w:t>课程目标</w:t>
      </w:r>
      <w:r>
        <w:rPr>
          <w:rFonts w:ascii="宋体" w:hAnsi="宋体"/>
          <w:sz w:val="24"/>
          <w:szCs w:val="24"/>
        </w:rPr>
        <w:t>3</w:t>
      </w:r>
      <w:r>
        <w:rPr>
          <w:rFonts w:hint="eastAsia" w:ascii="宋体" w:hAnsi="宋体"/>
          <w:sz w:val="24"/>
          <w:szCs w:val="24"/>
        </w:rPr>
        <w:t>、学生应能在教师指导下，考虑</w:t>
      </w:r>
      <w:r>
        <w:rPr>
          <w:rFonts w:ascii="宋体" w:hAnsi="宋体"/>
          <w:sz w:val="24"/>
          <w:szCs w:val="24"/>
        </w:rPr>
        <w:t>多因素（</w:t>
      </w:r>
      <w:r>
        <w:rPr>
          <w:rFonts w:hint="eastAsia" w:ascii="宋体" w:hAnsi="宋体"/>
          <w:sz w:val="24"/>
          <w:szCs w:val="24"/>
        </w:rPr>
        <w:t>如</w:t>
      </w:r>
      <w:r>
        <w:rPr>
          <w:rFonts w:ascii="宋体" w:hAnsi="宋体"/>
          <w:sz w:val="24"/>
          <w:szCs w:val="24"/>
        </w:rPr>
        <w:t>技术经济、</w:t>
      </w:r>
      <w:r>
        <w:rPr>
          <w:rFonts w:hint="eastAsia" w:ascii="宋体" w:hAnsi="宋体"/>
          <w:sz w:val="24"/>
          <w:szCs w:val="24"/>
        </w:rPr>
        <w:t>环境</w:t>
      </w:r>
      <w:r>
        <w:rPr>
          <w:rFonts w:ascii="宋体" w:hAnsi="宋体"/>
          <w:sz w:val="24"/>
          <w:szCs w:val="24"/>
        </w:rPr>
        <w:t>等）</w:t>
      </w:r>
      <w:r>
        <w:rPr>
          <w:rFonts w:hint="eastAsia" w:ascii="宋体" w:hAnsi="宋体"/>
          <w:sz w:val="24"/>
          <w:szCs w:val="24"/>
        </w:rPr>
        <w:t>条件</w:t>
      </w:r>
      <w:r>
        <w:rPr>
          <w:rFonts w:ascii="宋体" w:hAnsi="宋体"/>
          <w:sz w:val="24"/>
          <w:szCs w:val="24"/>
        </w:rPr>
        <w:t>，</w:t>
      </w:r>
      <w:r>
        <w:rPr>
          <w:rFonts w:hint="eastAsia" w:ascii="宋体" w:hAnsi="宋体"/>
          <w:sz w:val="24"/>
          <w:szCs w:val="24"/>
        </w:rPr>
        <w:t>使用现代工具（如文献检索工具、绘图软件、办公软件、通用分析软件等），通过建模分析，或理论研究或试验研究等手段，完成研究论文，并满足物流管理专业相关的标准、规范等</w:t>
      </w:r>
      <w:r>
        <w:rPr>
          <w:rFonts w:ascii="宋体" w:hAnsi="宋体"/>
          <w:sz w:val="24"/>
          <w:szCs w:val="24"/>
        </w:rPr>
        <w:t>。</w:t>
      </w:r>
    </w:p>
    <w:p w14:paraId="2EE71C63">
      <w:pPr>
        <w:spacing w:line="360" w:lineRule="auto"/>
        <w:ind w:firstLine="480" w:firstLineChars="200"/>
        <w:rPr>
          <w:rFonts w:ascii="宋体" w:hAnsi="宋体"/>
          <w:sz w:val="24"/>
          <w:szCs w:val="24"/>
        </w:rPr>
      </w:pPr>
      <w:r>
        <w:rPr>
          <w:rFonts w:hint="eastAsia" w:ascii="宋体" w:hAnsi="宋体"/>
          <w:sz w:val="24"/>
          <w:szCs w:val="24"/>
        </w:rPr>
        <w:t>课程目标</w:t>
      </w:r>
      <w:r>
        <w:rPr>
          <w:rFonts w:ascii="宋体" w:hAnsi="宋体"/>
          <w:sz w:val="24"/>
          <w:szCs w:val="24"/>
        </w:rPr>
        <w:t>4</w:t>
      </w:r>
      <w:r>
        <w:rPr>
          <w:rFonts w:hint="eastAsia" w:ascii="宋体" w:hAnsi="宋体"/>
          <w:sz w:val="24"/>
          <w:szCs w:val="24"/>
        </w:rPr>
        <w:t>、用</w:t>
      </w:r>
      <w:r>
        <w:rPr>
          <w:rFonts w:ascii="宋体" w:hAnsi="宋体"/>
          <w:sz w:val="24"/>
          <w:szCs w:val="24"/>
        </w:rPr>
        <w:t>PPT</w:t>
      </w:r>
      <w:r>
        <w:rPr>
          <w:rFonts w:hint="eastAsia" w:ascii="宋体" w:hAnsi="宋体"/>
          <w:sz w:val="24"/>
          <w:szCs w:val="24"/>
        </w:rPr>
        <w:t>清晰地展示、陈述自己的研究目标、过程和结论，并能正确、有效地回答及交流专业问题。</w:t>
      </w:r>
    </w:p>
    <w:p w14:paraId="2D7A8E32">
      <w:pPr>
        <w:spacing w:line="360" w:lineRule="auto"/>
        <w:ind w:firstLine="360" w:firstLineChars="150"/>
        <w:rPr>
          <w:rFonts w:ascii="宋体" w:hAnsi="宋体"/>
          <w:sz w:val="24"/>
          <w:szCs w:val="24"/>
        </w:rPr>
      </w:pPr>
    </w:p>
    <w:p w14:paraId="752434B9">
      <w:pPr>
        <w:pStyle w:val="2"/>
        <w:spacing w:before="120" w:after="120" w:line="240" w:lineRule="auto"/>
        <w:rPr>
          <w:rFonts w:ascii="黑体" w:hAnsi="黑体" w:eastAsia="黑体"/>
          <w:b w:val="0"/>
          <w:bCs w:val="0"/>
          <w:sz w:val="28"/>
          <w:szCs w:val="28"/>
        </w:rPr>
      </w:pPr>
      <w:r>
        <w:rPr>
          <w:rFonts w:hint="eastAsia" w:ascii="黑体" w:hAnsi="黑体" w:eastAsia="黑体"/>
          <w:b w:val="0"/>
          <w:bCs w:val="0"/>
          <w:sz w:val="28"/>
          <w:szCs w:val="28"/>
        </w:rPr>
        <w:t>三、毕业设计</w:t>
      </w:r>
      <w:r>
        <w:rPr>
          <w:rFonts w:ascii="黑体" w:hAnsi="黑体" w:eastAsia="黑体"/>
          <w:b w:val="0"/>
          <w:bCs w:val="0"/>
          <w:sz w:val="28"/>
          <w:szCs w:val="28"/>
        </w:rPr>
        <w:t>（</w:t>
      </w:r>
      <w:r>
        <w:rPr>
          <w:rFonts w:hint="eastAsia" w:ascii="黑体" w:hAnsi="黑体" w:eastAsia="黑体"/>
          <w:b w:val="0"/>
          <w:bCs w:val="0"/>
          <w:sz w:val="28"/>
          <w:szCs w:val="28"/>
        </w:rPr>
        <w:t>论文</w:t>
      </w:r>
      <w:r>
        <w:rPr>
          <w:rFonts w:ascii="黑体" w:hAnsi="黑体" w:eastAsia="黑体"/>
          <w:b w:val="0"/>
          <w:bCs w:val="0"/>
          <w:sz w:val="28"/>
          <w:szCs w:val="28"/>
        </w:rPr>
        <w:t>）</w:t>
      </w:r>
      <w:r>
        <w:rPr>
          <w:rFonts w:hint="eastAsia" w:ascii="黑体" w:hAnsi="黑体" w:eastAsia="黑体"/>
          <w:b w:val="0"/>
          <w:bCs w:val="0"/>
          <w:sz w:val="28"/>
          <w:szCs w:val="28"/>
        </w:rPr>
        <w:t>的选题</w:t>
      </w:r>
      <w:r>
        <w:rPr>
          <w:rFonts w:ascii="黑体" w:hAnsi="黑体" w:eastAsia="黑体"/>
          <w:b w:val="0"/>
          <w:bCs w:val="0"/>
          <w:sz w:val="28"/>
          <w:szCs w:val="28"/>
        </w:rPr>
        <w:t>基本要求</w:t>
      </w:r>
    </w:p>
    <w:p w14:paraId="51164273">
      <w:pPr>
        <w:spacing w:line="360" w:lineRule="auto"/>
        <w:ind w:firstLine="480" w:firstLineChars="200"/>
        <w:rPr>
          <w:rFonts w:ascii="宋体" w:hAnsi="宋体"/>
          <w:sz w:val="24"/>
          <w:szCs w:val="24"/>
        </w:rPr>
      </w:pPr>
      <w:r>
        <w:rPr>
          <w:rFonts w:hint="eastAsia" w:ascii="宋体" w:hAnsi="宋体"/>
          <w:sz w:val="24"/>
          <w:szCs w:val="24"/>
        </w:rPr>
        <w:t>1）毕业设计（论文）的选题应符合专业培养目标，满足人才培养基本要求，使学生在专业知识应用方面得到比较全面的训练。论文题目应与工作、社会等实际任务相结合，内容应属于学生所学专业或相关专业的范围。题目难度和工作量应适合学生的知识、能力、相应的实践条件和毕业设计所规定的时间，使学生经过努力能够完成。</w:t>
      </w:r>
    </w:p>
    <w:p w14:paraId="35687B90">
      <w:pPr>
        <w:spacing w:line="360" w:lineRule="auto"/>
        <w:ind w:firstLine="480" w:firstLineChars="200"/>
        <w:rPr>
          <w:rFonts w:ascii="宋体" w:hAnsi="宋体"/>
          <w:sz w:val="24"/>
          <w:szCs w:val="24"/>
        </w:rPr>
      </w:pPr>
      <w:r>
        <w:rPr>
          <w:rFonts w:hint="eastAsia" w:ascii="宋体" w:hAnsi="宋体"/>
          <w:sz w:val="24"/>
          <w:szCs w:val="24"/>
        </w:rPr>
        <w:t>2）鼓励采用实际项目作为毕业设计（论文）题目，可结合学生工作实际拟定毕业设计（论文）题目。</w:t>
      </w:r>
    </w:p>
    <w:p w14:paraId="5AE495AE">
      <w:pPr>
        <w:spacing w:line="360" w:lineRule="auto"/>
        <w:ind w:firstLine="480" w:firstLineChars="200"/>
        <w:rPr>
          <w:rFonts w:ascii="宋体" w:hAnsi="宋体"/>
          <w:sz w:val="24"/>
          <w:szCs w:val="24"/>
        </w:rPr>
      </w:pPr>
      <w:r>
        <w:rPr>
          <w:rFonts w:hint="eastAsia" w:ascii="宋体" w:hAnsi="宋体"/>
          <w:sz w:val="24"/>
          <w:szCs w:val="24"/>
        </w:rPr>
        <w:t>3）毕业设计（论文）选题要注重科学研究方法和创新方法的训练，综合考虑经济、环境、法律、安全、健康、伦理等制约因素。理论研究的选题应满足科学研究的基本规律，覆盖科学研究的各个方面。</w:t>
      </w:r>
    </w:p>
    <w:p w14:paraId="27A9B37B">
      <w:pPr>
        <w:spacing w:line="360" w:lineRule="auto"/>
        <w:ind w:firstLine="480" w:firstLineChars="200"/>
        <w:rPr>
          <w:rFonts w:ascii="宋体" w:hAnsi="宋体"/>
          <w:sz w:val="24"/>
          <w:szCs w:val="24"/>
        </w:rPr>
      </w:pPr>
      <w:r>
        <w:rPr>
          <w:rFonts w:hint="eastAsia" w:ascii="宋体" w:hAnsi="宋体"/>
          <w:sz w:val="24"/>
          <w:szCs w:val="24"/>
        </w:rPr>
        <w:t>4）原则上一个学生一个题目，学生</w:t>
      </w:r>
      <w:r>
        <w:rPr>
          <w:rFonts w:ascii="宋体" w:hAnsi="宋体"/>
          <w:sz w:val="24"/>
          <w:szCs w:val="24"/>
        </w:rPr>
        <w:t>在教师指导下</w:t>
      </w:r>
      <w:r>
        <w:rPr>
          <w:rFonts w:hint="eastAsia" w:ascii="宋体" w:hAnsi="宋体"/>
          <w:sz w:val="24"/>
          <w:szCs w:val="24"/>
        </w:rPr>
        <w:t>独立完成论文，工作量满足要求。</w:t>
      </w:r>
    </w:p>
    <w:p w14:paraId="2673BE69">
      <w:pPr>
        <w:spacing w:line="360" w:lineRule="auto"/>
        <w:ind w:firstLine="480"/>
        <w:rPr>
          <w:rFonts w:ascii="黑体" w:eastAsia="黑体"/>
          <w:sz w:val="24"/>
        </w:rPr>
      </w:pPr>
    </w:p>
    <w:p w14:paraId="58444457">
      <w:pPr>
        <w:pStyle w:val="2"/>
        <w:spacing w:before="120" w:after="120" w:line="240" w:lineRule="auto"/>
        <w:rPr>
          <w:rFonts w:ascii="黑体" w:hAnsi="黑体" w:eastAsia="黑体"/>
          <w:b w:val="0"/>
          <w:bCs w:val="0"/>
          <w:sz w:val="28"/>
          <w:szCs w:val="28"/>
        </w:rPr>
      </w:pPr>
      <w:r>
        <w:rPr>
          <w:rFonts w:hint="eastAsia" w:ascii="黑体" w:hAnsi="黑体" w:eastAsia="黑体"/>
          <w:b w:val="0"/>
          <w:bCs w:val="0"/>
          <w:sz w:val="28"/>
          <w:szCs w:val="28"/>
        </w:rPr>
        <w:t>四、毕业设计</w:t>
      </w:r>
      <w:r>
        <w:rPr>
          <w:rFonts w:ascii="黑体" w:hAnsi="黑体" w:eastAsia="黑体"/>
          <w:b w:val="0"/>
          <w:bCs w:val="0"/>
          <w:sz w:val="28"/>
          <w:szCs w:val="28"/>
        </w:rPr>
        <w:t>（</w:t>
      </w:r>
      <w:r>
        <w:rPr>
          <w:rFonts w:hint="eastAsia" w:ascii="黑体" w:hAnsi="黑体" w:eastAsia="黑体"/>
          <w:b w:val="0"/>
          <w:bCs w:val="0"/>
          <w:sz w:val="28"/>
          <w:szCs w:val="28"/>
        </w:rPr>
        <w:t>论文</w:t>
      </w:r>
      <w:r>
        <w:rPr>
          <w:rFonts w:ascii="黑体" w:hAnsi="黑体" w:eastAsia="黑体"/>
          <w:b w:val="0"/>
          <w:bCs w:val="0"/>
          <w:sz w:val="28"/>
          <w:szCs w:val="28"/>
        </w:rPr>
        <w:t>）</w:t>
      </w:r>
      <w:r>
        <w:rPr>
          <w:rFonts w:hint="eastAsia" w:ascii="黑体" w:hAnsi="黑体" w:eastAsia="黑体"/>
          <w:b w:val="0"/>
          <w:bCs w:val="0"/>
          <w:sz w:val="28"/>
          <w:szCs w:val="28"/>
        </w:rPr>
        <w:t>内容及要求</w:t>
      </w:r>
    </w:p>
    <w:tbl>
      <w:tblPr>
        <w:tblStyle w:val="10"/>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40"/>
        <w:gridCol w:w="1320"/>
        <w:gridCol w:w="1613"/>
        <w:gridCol w:w="4450"/>
        <w:gridCol w:w="1177"/>
      </w:tblGrid>
      <w:tr w14:paraId="127FA7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47" w:type="pct"/>
            <w:shd w:val="clear" w:color="auto" w:fill="auto"/>
            <w:vAlign w:val="center"/>
          </w:tcPr>
          <w:p w14:paraId="1A6AEAB1">
            <w:pPr>
              <w:spacing w:line="360" w:lineRule="auto"/>
              <w:rPr>
                <w:rFonts w:ascii="宋体" w:hAnsi="宋体"/>
                <w:sz w:val="24"/>
                <w:szCs w:val="24"/>
              </w:rPr>
            </w:pPr>
            <w:r>
              <w:rPr>
                <w:rFonts w:hint="eastAsia" w:ascii="宋体" w:hAnsi="宋体"/>
                <w:sz w:val="24"/>
                <w:szCs w:val="24"/>
              </w:rPr>
              <w:t>序号</w:t>
            </w:r>
          </w:p>
        </w:tc>
        <w:tc>
          <w:tcPr>
            <w:tcW w:w="702" w:type="pct"/>
            <w:shd w:val="clear" w:color="auto" w:fill="auto"/>
          </w:tcPr>
          <w:p w14:paraId="4AD93008">
            <w:pPr>
              <w:spacing w:line="360" w:lineRule="auto"/>
              <w:rPr>
                <w:rFonts w:ascii="宋体" w:hAnsi="宋体"/>
                <w:sz w:val="24"/>
                <w:szCs w:val="24"/>
              </w:rPr>
            </w:pPr>
            <w:r>
              <w:rPr>
                <w:rFonts w:hint="eastAsia" w:ascii="宋体" w:hAnsi="宋体"/>
                <w:sz w:val="24"/>
                <w:szCs w:val="24"/>
              </w:rPr>
              <w:t>知识单元（章节）</w:t>
            </w:r>
          </w:p>
        </w:tc>
        <w:tc>
          <w:tcPr>
            <w:tcW w:w="858" w:type="pct"/>
            <w:shd w:val="clear" w:color="auto" w:fill="auto"/>
            <w:vAlign w:val="center"/>
          </w:tcPr>
          <w:p w14:paraId="6CCAD666">
            <w:pPr>
              <w:spacing w:line="360" w:lineRule="auto"/>
              <w:ind w:firstLine="360" w:firstLineChars="150"/>
              <w:rPr>
                <w:rFonts w:ascii="宋体" w:hAnsi="宋体"/>
                <w:sz w:val="24"/>
                <w:szCs w:val="24"/>
              </w:rPr>
            </w:pPr>
            <w:r>
              <w:rPr>
                <w:rFonts w:hint="eastAsia" w:ascii="宋体" w:hAnsi="宋体"/>
                <w:sz w:val="24"/>
                <w:szCs w:val="24"/>
              </w:rPr>
              <w:t>知识点</w:t>
            </w:r>
          </w:p>
        </w:tc>
        <w:tc>
          <w:tcPr>
            <w:tcW w:w="2367" w:type="pct"/>
            <w:shd w:val="clear" w:color="auto" w:fill="auto"/>
            <w:vAlign w:val="center"/>
          </w:tcPr>
          <w:p w14:paraId="07118AB8">
            <w:pPr>
              <w:spacing w:line="360" w:lineRule="auto"/>
              <w:ind w:firstLine="360" w:firstLineChars="150"/>
              <w:rPr>
                <w:rFonts w:ascii="宋体" w:hAnsi="宋体"/>
                <w:sz w:val="24"/>
                <w:szCs w:val="24"/>
              </w:rPr>
            </w:pPr>
            <w:r>
              <w:rPr>
                <w:rFonts w:hint="eastAsia" w:ascii="宋体" w:hAnsi="宋体"/>
                <w:sz w:val="24"/>
                <w:szCs w:val="24"/>
              </w:rPr>
              <w:t>教学要求</w:t>
            </w:r>
          </w:p>
        </w:tc>
        <w:tc>
          <w:tcPr>
            <w:tcW w:w="626" w:type="pct"/>
            <w:shd w:val="clear" w:color="auto" w:fill="auto"/>
            <w:vAlign w:val="center"/>
          </w:tcPr>
          <w:p w14:paraId="0C1B0C60">
            <w:pPr>
              <w:spacing w:line="360" w:lineRule="auto"/>
              <w:rPr>
                <w:rFonts w:ascii="宋体" w:hAnsi="宋体"/>
                <w:sz w:val="24"/>
                <w:szCs w:val="24"/>
              </w:rPr>
            </w:pPr>
            <w:r>
              <w:rPr>
                <w:rFonts w:hint="eastAsia" w:ascii="宋体" w:hAnsi="宋体"/>
                <w:sz w:val="24"/>
                <w:szCs w:val="24"/>
              </w:rPr>
              <w:t>推荐学时</w:t>
            </w:r>
          </w:p>
        </w:tc>
      </w:tr>
      <w:tr w14:paraId="50C138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47" w:type="pct"/>
            <w:shd w:val="clear" w:color="auto" w:fill="auto"/>
            <w:vAlign w:val="center"/>
          </w:tcPr>
          <w:p w14:paraId="2F47EC4E">
            <w:pPr>
              <w:spacing w:line="360" w:lineRule="auto"/>
              <w:ind w:firstLine="360" w:firstLineChars="150"/>
              <w:rPr>
                <w:rFonts w:ascii="宋体" w:hAnsi="宋体"/>
                <w:sz w:val="24"/>
                <w:szCs w:val="24"/>
              </w:rPr>
            </w:pPr>
            <w:r>
              <w:rPr>
                <w:rFonts w:ascii="宋体" w:hAnsi="宋体"/>
                <w:sz w:val="24"/>
                <w:szCs w:val="24"/>
              </w:rPr>
              <w:t>1</w:t>
            </w:r>
          </w:p>
        </w:tc>
        <w:tc>
          <w:tcPr>
            <w:tcW w:w="702" w:type="pct"/>
            <w:shd w:val="clear" w:color="auto" w:fill="auto"/>
            <w:vAlign w:val="center"/>
          </w:tcPr>
          <w:p w14:paraId="52961A35">
            <w:pPr>
              <w:spacing w:line="360" w:lineRule="auto"/>
              <w:rPr>
                <w:rFonts w:ascii="宋体" w:hAnsi="宋体"/>
                <w:sz w:val="24"/>
                <w:szCs w:val="24"/>
              </w:rPr>
            </w:pPr>
            <w:r>
              <w:rPr>
                <w:rFonts w:hint="eastAsia" w:ascii="宋体" w:hAnsi="宋体"/>
                <w:sz w:val="24"/>
                <w:szCs w:val="24"/>
              </w:rPr>
              <w:t>文献检索及整理归纳</w:t>
            </w:r>
          </w:p>
        </w:tc>
        <w:tc>
          <w:tcPr>
            <w:tcW w:w="858" w:type="pct"/>
            <w:shd w:val="clear" w:color="auto" w:fill="auto"/>
            <w:vAlign w:val="center"/>
          </w:tcPr>
          <w:p w14:paraId="02C7F195">
            <w:pPr>
              <w:spacing w:line="360" w:lineRule="auto"/>
              <w:rPr>
                <w:rFonts w:ascii="宋体" w:hAnsi="宋体"/>
                <w:sz w:val="24"/>
                <w:szCs w:val="24"/>
              </w:rPr>
            </w:pPr>
            <w:r>
              <w:rPr>
                <w:rFonts w:hint="eastAsia" w:ascii="宋体" w:hAnsi="宋体"/>
                <w:sz w:val="24"/>
                <w:szCs w:val="24"/>
              </w:rPr>
              <w:t>文献综述及开题报告</w:t>
            </w:r>
          </w:p>
        </w:tc>
        <w:tc>
          <w:tcPr>
            <w:tcW w:w="2367" w:type="pct"/>
            <w:shd w:val="clear" w:color="auto" w:fill="auto"/>
            <w:vAlign w:val="center"/>
          </w:tcPr>
          <w:p w14:paraId="3F6D1880">
            <w:pPr>
              <w:spacing w:line="360" w:lineRule="auto"/>
              <w:rPr>
                <w:rFonts w:ascii="宋体" w:hAnsi="宋体"/>
                <w:sz w:val="24"/>
                <w:szCs w:val="24"/>
              </w:rPr>
            </w:pPr>
            <w:r>
              <w:rPr>
                <w:rFonts w:hint="eastAsia" w:ascii="宋体" w:hAnsi="宋体"/>
                <w:sz w:val="24"/>
                <w:szCs w:val="24"/>
              </w:rPr>
              <w:t>文献引用与综述符合规范，能够依据实际企业或者物流与供应链理论需要，提出研究问题。通过收集、学习、研究文献资料，了解课题相关领域的最新发展动态，论文题目考虑了政治、经济、技术、社会及环境因素，</w:t>
            </w:r>
            <w:r>
              <w:rPr>
                <w:rFonts w:ascii="宋体" w:hAnsi="宋体"/>
                <w:sz w:val="24"/>
                <w:szCs w:val="24"/>
              </w:rPr>
              <w:t>撰写开题报告</w:t>
            </w:r>
            <w:r>
              <w:rPr>
                <w:rFonts w:hint="eastAsia" w:ascii="宋体" w:hAnsi="宋体"/>
                <w:sz w:val="24"/>
                <w:szCs w:val="24"/>
              </w:rPr>
              <w:t>。</w:t>
            </w:r>
          </w:p>
        </w:tc>
        <w:tc>
          <w:tcPr>
            <w:tcW w:w="626" w:type="pct"/>
            <w:shd w:val="clear" w:color="auto" w:fill="auto"/>
            <w:vAlign w:val="center"/>
          </w:tcPr>
          <w:p w14:paraId="516EE1A2">
            <w:pPr>
              <w:spacing w:line="360" w:lineRule="auto"/>
              <w:rPr>
                <w:rFonts w:ascii="宋体" w:hAnsi="宋体"/>
                <w:sz w:val="24"/>
                <w:szCs w:val="24"/>
              </w:rPr>
            </w:pPr>
            <w:r>
              <w:rPr>
                <w:rFonts w:ascii="宋体" w:hAnsi="宋体"/>
                <w:sz w:val="24"/>
                <w:szCs w:val="24"/>
              </w:rPr>
              <w:t>40</w:t>
            </w:r>
          </w:p>
        </w:tc>
      </w:tr>
      <w:tr w14:paraId="2BE196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47" w:type="pct"/>
            <w:shd w:val="clear" w:color="auto" w:fill="auto"/>
            <w:vAlign w:val="center"/>
          </w:tcPr>
          <w:p w14:paraId="0ED42343">
            <w:pPr>
              <w:spacing w:line="360" w:lineRule="auto"/>
              <w:ind w:firstLine="360" w:firstLineChars="150"/>
              <w:rPr>
                <w:rFonts w:ascii="宋体" w:hAnsi="宋体"/>
                <w:sz w:val="24"/>
                <w:szCs w:val="24"/>
              </w:rPr>
            </w:pPr>
            <w:r>
              <w:rPr>
                <w:rFonts w:ascii="宋体" w:hAnsi="宋体"/>
                <w:sz w:val="24"/>
                <w:szCs w:val="24"/>
              </w:rPr>
              <w:t>2</w:t>
            </w:r>
          </w:p>
        </w:tc>
        <w:tc>
          <w:tcPr>
            <w:tcW w:w="702" w:type="pct"/>
            <w:shd w:val="clear" w:color="auto" w:fill="auto"/>
            <w:vAlign w:val="center"/>
          </w:tcPr>
          <w:p w14:paraId="63D706FA">
            <w:pPr>
              <w:spacing w:line="360" w:lineRule="auto"/>
              <w:rPr>
                <w:rFonts w:ascii="宋体" w:hAnsi="宋体"/>
                <w:sz w:val="24"/>
                <w:szCs w:val="24"/>
              </w:rPr>
            </w:pPr>
            <w:r>
              <w:rPr>
                <w:rFonts w:hint="eastAsia" w:ascii="宋体" w:hAnsi="宋体"/>
                <w:sz w:val="24"/>
                <w:szCs w:val="24"/>
              </w:rPr>
              <w:t>理论研究，或数值计算，或实证研究</w:t>
            </w:r>
          </w:p>
        </w:tc>
        <w:tc>
          <w:tcPr>
            <w:tcW w:w="858" w:type="pct"/>
            <w:shd w:val="clear" w:color="auto" w:fill="auto"/>
            <w:vAlign w:val="center"/>
          </w:tcPr>
          <w:p w14:paraId="25848604">
            <w:pPr>
              <w:spacing w:line="360" w:lineRule="auto"/>
              <w:rPr>
                <w:rFonts w:ascii="宋体" w:hAnsi="宋体"/>
                <w:sz w:val="24"/>
                <w:szCs w:val="24"/>
              </w:rPr>
            </w:pPr>
            <w:r>
              <w:rPr>
                <w:rFonts w:hint="eastAsia" w:ascii="宋体" w:hAnsi="宋体"/>
                <w:sz w:val="24"/>
                <w:szCs w:val="24"/>
              </w:rPr>
              <w:t>理论分析和计算，软件建模</w:t>
            </w:r>
            <w:r>
              <w:rPr>
                <w:rFonts w:ascii="宋体" w:hAnsi="宋体"/>
                <w:sz w:val="24"/>
                <w:szCs w:val="24"/>
              </w:rPr>
              <w:t>、计算及分析</w:t>
            </w:r>
            <w:r>
              <w:rPr>
                <w:rFonts w:hint="eastAsia" w:ascii="宋体" w:hAnsi="宋体"/>
                <w:sz w:val="24"/>
                <w:szCs w:val="24"/>
              </w:rPr>
              <w:t>，实证</w:t>
            </w:r>
            <w:r>
              <w:rPr>
                <w:rFonts w:ascii="宋体" w:hAnsi="宋体"/>
                <w:sz w:val="24"/>
                <w:szCs w:val="24"/>
              </w:rPr>
              <w:t>研究及分析</w:t>
            </w:r>
          </w:p>
        </w:tc>
        <w:tc>
          <w:tcPr>
            <w:tcW w:w="2367" w:type="pct"/>
            <w:shd w:val="clear" w:color="auto" w:fill="auto"/>
            <w:vAlign w:val="center"/>
          </w:tcPr>
          <w:p w14:paraId="041976A8">
            <w:pPr>
              <w:spacing w:line="360" w:lineRule="auto"/>
              <w:rPr>
                <w:rFonts w:ascii="宋体" w:hAnsi="宋体"/>
                <w:sz w:val="24"/>
                <w:szCs w:val="24"/>
              </w:rPr>
            </w:pPr>
            <w:r>
              <w:rPr>
                <w:rFonts w:hint="eastAsia" w:ascii="宋体" w:hAnsi="宋体"/>
                <w:sz w:val="24"/>
                <w:szCs w:val="24"/>
              </w:rPr>
              <w:t>运用物流与供应链管理理论和方法分析问题，采用实证、案例、演绎、实验、建模等方法开展研究设计与方案分析，使用数学方法，或采用计算机软件等分析技术与工具。</w:t>
            </w:r>
          </w:p>
        </w:tc>
        <w:tc>
          <w:tcPr>
            <w:tcW w:w="626" w:type="pct"/>
            <w:shd w:val="clear" w:color="auto" w:fill="auto"/>
            <w:vAlign w:val="center"/>
          </w:tcPr>
          <w:p w14:paraId="21F9BB1D">
            <w:pPr>
              <w:spacing w:line="360" w:lineRule="auto"/>
              <w:rPr>
                <w:rFonts w:ascii="宋体" w:hAnsi="宋体"/>
                <w:sz w:val="24"/>
                <w:szCs w:val="24"/>
              </w:rPr>
            </w:pPr>
            <w:r>
              <w:rPr>
                <w:rFonts w:hint="eastAsia" w:ascii="宋体" w:hAnsi="宋体"/>
                <w:sz w:val="24"/>
                <w:szCs w:val="24"/>
              </w:rPr>
              <w:t>140</w:t>
            </w:r>
            <w:r>
              <w:rPr>
                <w:rFonts w:ascii="Times New Roman" w:hAnsi="Times New Roman"/>
                <w:sz w:val="24"/>
                <w:szCs w:val="24"/>
              </w:rPr>
              <w:t>~</w:t>
            </w:r>
            <w:r>
              <w:rPr>
                <w:rFonts w:hint="eastAsia" w:ascii="宋体" w:hAnsi="宋体"/>
                <w:sz w:val="24"/>
                <w:szCs w:val="24"/>
              </w:rPr>
              <w:t>160</w:t>
            </w:r>
          </w:p>
        </w:tc>
      </w:tr>
      <w:tr w14:paraId="01C462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47" w:type="pct"/>
            <w:shd w:val="clear" w:color="auto" w:fill="auto"/>
            <w:vAlign w:val="center"/>
          </w:tcPr>
          <w:p w14:paraId="6BCE0F78">
            <w:pPr>
              <w:spacing w:line="360" w:lineRule="auto"/>
              <w:ind w:firstLine="360" w:firstLineChars="150"/>
              <w:rPr>
                <w:rFonts w:ascii="宋体" w:hAnsi="宋体"/>
                <w:sz w:val="24"/>
                <w:szCs w:val="24"/>
              </w:rPr>
            </w:pPr>
            <w:r>
              <w:rPr>
                <w:rFonts w:ascii="宋体" w:hAnsi="宋体"/>
                <w:sz w:val="24"/>
                <w:szCs w:val="24"/>
              </w:rPr>
              <w:t>3</w:t>
            </w:r>
          </w:p>
        </w:tc>
        <w:tc>
          <w:tcPr>
            <w:tcW w:w="702" w:type="pct"/>
            <w:shd w:val="clear" w:color="auto" w:fill="auto"/>
            <w:vAlign w:val="center"/>
          </w:tcPr>
          <w:p w14:paraId="03C452F9">
            <w:pPr>
              <w:spacing w:line="360" w:lineRule="auto"/>
              <w:rPr>
                <w:rFonts w:ascii="宋体" w:hAnsi="宋体"/>
                <w:sz w:val="24"/>
                <w:szCs w:val="24"/>
              </w:rPr>
            </w:pPr>
            <w:r>
              <w:rPr>
                <w:rFonts w:hint="eastAsia" w:ascii="宋体" w:hAnsi="宋体"/>
                <w:sz w:val="24"/>
                <w:szCs w:val="24"/>
              </w:rPr>
              <w:t>论文</w:t>
            </w:r>
            <w:r>
              <w:rPr>
                <w:rFonts w:ascii="宋体" w:hAnsi="宋体"/>
                <w:sz w:val="24"/>
                <w:szCs w:val="24"/>
              </w:rPr>
              <w:t>撰写</w:t>
            </w:r>
          </w:p>
        </w:tc>
        <w:tc>
          <w:tcPr>
            <w:tcW w:w="858" w:type="pct"/>
            <w:shd w:val="clear" w:color="auto" w:fill="auto"/>
            <w:vAlign w:val="center"/>
          </w:tcPr>
          <w:p w14:paraId="5CF317B2">
            <w:pPr>
              <w:spacing w:line="360" w:lineRule="auto"/>
              <w:rPr>
                <w:rFonts w:ascii="宋体" w:hAnsi="宋体"/>
                <w:sz w:val="24"/>
                <w:szCs w:val="24"/>
              </w:rPr>
            </w:pPr>
            <w:r>
              <w:rPr>
                <w:rFonts w:ascii="宋体" w:hAnsi="宋体"/>
                <w:sz w:val="24"/>
                <w:szCs w:val="24"/>
              </w:rPr>
              <w:t>论文撰写</w:t>
            </w:r>
          </w:p>
        </w:tc>
        <w:tc>
          <w:tcPr>
            <w:tcW w:w="2367" w:type="pct"/>
            <w:shd w:val="clear" w:color="auto" w:fill="auto"/>
            <w:vAlign w:val="center"/>
          </w:tcPr>
          <w:p w14:paraId="5827619B">
            <w:pPr>
              <w:spacing w:line="360" w:lineRule="auto"/>
              <w:rPr>
                <w:rFonts w:ascii="宋体" w:hAnsi="宋体"/>
                <w:sz w:val="24"/>
                <w:szCs w:val="24"/>
              </w:rPr>
            </w:pPr>
            <w:r>
              <w:rPr>
                <w:rFonts w:hint="eastAsia" w:ascii="宋体" w:hAnsi="宋体"/>
                <w:sz w:val="24"/>
                <w:szCs w:val="24"/>
              </w:rPr>
              <w:t>利用编辑软件撰写论文，符合要求与规范。</w:t>
            </w:r>
          </w:p>
        </w:tc>
        <w:tc>
          <w:tcPr>
            <w:tcW w:w="626" w:type="pct"/>
            <w:shd w:val="clear" w:color="auto" w:fill="auto"/>
            <w:vAlign w:val="center"/>
          </w:tcPr>
          <w:p w14:paraId="5EBA05FC">
            <w:pPr>
              <w:spacing w:line="360" w:lineRule="auto"/>
              <w:rPr>
                <w:rFonts w:ascii="宋体" w:hAnsi="宋体"/>
                <w:sz w:val="24"/>
                <w:szCs w:val="24"/>
              </w:rPr>
            </w:pPr>
            <w:r>
              <w:rPr>
                <w:rFonts w:ascii="宋体" w:hAnsi="宋体"/>
                <w:sz w:val="24"/>
                <w:szCs w:val="24"/>
              </w:rPr>
              <w:t>80</w:t>
            </w:r>
            <w:r>
              <w:rPr>
                <w:rFonts w:ascii="Times New Roman" w:hAnsi="Times New Roman"/>
                <w:sz w:val="24"/>
                <w:szCs w:val="24"/>
              </w:rPr>
              <w:t>~100</w:t>
            </w:r>
          </w:p>
        </w:tc>
      </w:tr>
      <w:tr w14:paraId="629341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47" w:type="pct"/>
            <w:shd w:val="clear" w:color="auto" w:fill="auto"/>
            <w:vAlign w:val="center"/>
          </w:tcPr>
          <w:p w14:paraId="24FEA22D">
            <w:pPr>
              <w:spacing w:line="360" w:lineRule="auto"/>
              <w:ind w:firstLine="360" w:firstLineChars="150"/>
              <w:rPr>
                <w:rFonts w:ascii="宋体" w:hAnsi="宋体"/>
                <w:sz w:val="24"/>
                <w:szCs w:val="24"/>
              </w:rPr>
            </w:pPr>
            <w:r>
              <w:rPr>
                <w:rFonts w:hint="eastAsia" w:ascii="宋体" w:hAnsi="宋体"/>
                <w:sz w:val="24"/>
                <w:szCs w:val="24"/>
              </w:rPr>
              <w:t>4</w:t>
            </w:r>
          </w:p>
        </w:tc>
        <w:tc>
          <w:tcPr>
            <w:tcW w:w="702" w:type="pct"/>
            <w:shd w:val="clear" w:color="auto" w:fill="auto"/>
            <w:vAlign w:val="center"/>
          </w:tcPr>
          <w:p w14:paraId="284BD37C">
            <w:pPr>
              <w:spacing w:line="360" w:lineRule="auto"/>
              <w:rPr>
                <w:rFonts w:ascii="宋体" w:hAnsi="宋体"/>
                <w:sz w:val="24"/>
                <w:szCs w:val="24"/>
              </w:rPr>
            </w:pPr>
            <w:r>
              <w:rPr>
                <w:rFonts w:hint="eastAsia" w:ascii="宋体" w:hAnsi="宋体"/>
                <w:sz w:val="24"/>
                <w:szCs w:val="24"/>
              </w:rPr>
              <w:t>答辩</w:t>
            </w:r>
          </w:p>
        </w:tc>
        <w:tc>
          <w:tcPr>
            <w:tcW w:w="858" w:type="pct"/>
            <w:shd w:val="clear" w:color="auto" w:fill="auto"/>
            <w:vAlign w:val="center"/>
          </w:tcPr>
          <w:p w14:paraId="0AF9347B">
            <w:pPr>
              <w:spacing w:line="360" w:lineRule="auto"/>
              <w:rPr>
                <w:rFonts w:ascii="宋体" w:hAnsi="宋体"/>
                <w:sz w:val="24"/>
                <w:szCs w:val="24"/>
              </w:rPr>
            </w:pPr>
            <w:r>
              <w:rPr>
                <w:rFonts w:hint="eastAsia" w:ascii="宋体" w:hAnsi="宋体"/>
                <w:sz w:val="24"/>
                <w:szCs w:val="24"/>
              </w:rPr>
              <w:t>ppt展示文件</w:t>
            </w:r>
          </w:p>
        </w:tc>
        <w:tc>
          <w:tcPr>
            <w:tcW w:w="2367" w:type="pct"/>
            <w:shd w:val="clear" w:color="auto" w:fill="auto"/>
            <w:vAlign w:val="center"/>
          </w:tcPr>
          <w:p w14:paraId="310DB4B9">
            <w:pPr>
              <w:spacing w:line="360" w:lineRule="auto"/>
              <w:rPr>
                <w:rFonts w:ascii="宋体" w:hAnsi="宋体"/>
                <w:sz w:val="24"/>
                <w:szCs w:val="24"/>
              </w:rPr>
            </w:pPr>
            <w:r>
              <w:rPr>
                <w:rFonts w:hint="eastAsia" w:ascii="宋体" w:hAnsi="宋体"/>
                <w:sz w:val="24"/>
                <w:szCs w:val="24"/>
              </w:rPr>
              <w:t>使用多媒体清晰地展示、陈述自己的研究目标、过程和结论。能够正确回答问题。</w:t>
            </w:r>
          </w:p>
        </w:tc>
        <w:tc>
          <w:tcPr>
            <w:tcW w:w="626" w:type="pct"/>
            <w:shd w:val="clear" w:color="auto" w:fill="auto"/>
            <w:vAlign w:val="center"/>
          </w:tcPr>
          <w:p w14:paraId="7EE056D4">
            <w:pPr>
              <w:spacing w:line="360" w:lineRule="auto"/>
              <w:rPr>
                <w:rFonts w:ascii="宋体" w:hAnsi="宋体"/>
                <w:sz w:val="24"/>
                <w:szCs w:val="24"/>
              </w:rPr>
            </w:pPr>
            <w:r>
              <w:rPr>
                <w:rFonts w:ascii="宋体" w:hAnsi="宋体"/>
                <w:sz w:val="24"/>
                <w:szCs w:val="24"/>
              </w:rPr>
              <w:t>10</w:t>
            </w:r>
            <w:r>
              <w:rPr>
                <w:rFonts w:ascii="Times New Roman" w:hAnsi="Times New Roman"/>
                <w:sz w:val="24"/>
                <w:szCs w:val="24"/>
              </w:rPr>
              <w:t>~</w:t>
            </w:r>
            <w:r>
              <w:rPr>
                <w:rFonts w:hint="eastAsia" w:ascii="宋体" w:hAnsi="宋体"/>
                <w:sz w:val="24"/>
                <w:szCs w:val="24"/>
              </w:rPr>
              <w:t>2</w:t>
            </w:r>
            <w:r>
              <w:rPr>
                <w:rFonts w:ascii="宋体" w:hAnsi="宋体"/>
                <w:sz w:val="24"/>
                <w:szCs w:val="24"/>
              </w:rPr>
              <w:t>0</w:t>
            </w:r>
          </w:p>
        </w:tc>
      </w:tr>
    </w:tbl>
    <w:p w14:paraId="1ABD9FAE">
      <w:pPr>
        <w:spacing w:line="360" w:lineRule="auto"/>
        <w:rPr>
          <w:rFonts w:ascii="宋体"/>
          <w:b/>
          <w:sz w:val="24"/>
          <w:szCs w:val="24"/>
        </w:rPr>
      </w:pPr>
    </w:p>
    <w:p w14:paraId="235BCD1F">
      <w:pPr>
        <w:spacing w:line="360" w:lineRule="auto"/>
        <w:ind w:firstLine="452" w:firstLineChars="150"/>
        <w:jc w:val="center"/>
        <w:rPr>
          <w:rFonts w:ascii="宋体"/>
          <w:b/>
          <w:sz w:val="30"/>
          <w:szCs w:val="30"/>
        </w:rPr>
      </w:pPr>
    </w:p>
    <w:p w14:paraId="3C16E04C">
      <w:pPr>
        <w:spacing w:line="360" w:lineRule="auto"/>
        <w:ind w:firstLine="452" w:firstLineChars="150"/>
        <w:jc w:val="center"/>
        <w:rPr>
          <w:rFonts w:ascii="宋体"/>
          <w:b/>
          <w:sz w:val="30"/>
          <w:szCs w:val="30"/>
        </w:rPr>
      </w:pPr>
    </w:p>
    <w:p w14:paraId="2137E0EA">
      <w:pPr>
        <w:spacing w:line="360" w:lineRule="auto"/>
        <w:ind w:firstLine="452" w:firstLineChars="150"/>
        <w:jc w:val="center"/>
        <w:rPr>
          <w:rFonts w:ascii="宋体"/>
          <w:b/>
          <w:sz w:val="30"/>
          <w:szCs w:val="30"/>
        </w:rPr>
        <w:sectPr>
          <w:headerReference r:id="rId3" w:type="default"/>
          <w:footerReference r:id="rId4" w:type="default"/>
          <w:pgSz w:w="11906" w:h="16838"/>
          <w:pgMar w:top="1440" w:right="1361" w:bottom="1134" w:left="1361" w:header="851" w:footer="992" w:gutter="0"/>
          <w:pgNumType w:start="1"/>
          <w:cols w:space="425" w:num="1"/>
          <w:docGrid w:type="lines" w:linePitch="312" w:charSpace="0"/>
        </w:sectPr>
      </w:pPr>
    </w:p>
    <w:p w14:paraId="0AA955B7">
      <w:pPr>
        <w:widowControl/>
        <w:jc w:val="left"/>
        <w:rPr>
          <w:rFonts w:ascii="Times New Roman" w:hAnsi="Times New Roman"/>
          <w:b/>
          <w:sz w:val="24"/>
          <w:szCs w:val="24"/>
        </w:rPr>
      </w:pPr>
      <w:r>
        <w:rPr>
          <w:rFonts w:ascii="Times New Roman" w:hAnsi="Times New Roman"/>
          <w:b/>
          <w:sz w:val="24"/>
          <w:szCs w:val="24"/>
        </w:rPr>
        <w:t>附件：</w:t>
      </w:r>
    </w:p>
    <w:p w14:paraId="4E8C691C">
      <w:pPr>
        <w:spacing w:line="360" w:lineRule="auto"/>
        <w:ind w:firstLine="452" w:firstLineChars="150"/>
        <w:jc w:val="center"/>
        <w:rPr>
          <w:rFonts w:ascii="Times New Roman" w:hAnsi="Times New Roman"/>
          <w:b/>
          <w:sz w:val="30"/>
          <w:szCs w:val="30"/>
        </w:rPr>
      </w:pPr>
      <w:r>
        <w:rPr>
          <w:rFonts w:hint="eastAsia" w:ascii="Times New Roman" w:hAnsi="Times New Roman" w:eastAsia="黑体"/>
          <w:b/>
          <w:sz w:val="30"/>
          <w:szCs w:val="30"/>
        </w:rPr>
        <w:t>物流管理</w:t>
      </w:r>
      <w:r>
        <w:rPr>
          <w:rFonts w:ascii="Times New Roman" w:hAnsi="Times New Roman"/>
          <w:b/>
          <w:sz w:val="30"/>
          <w:szCs w:val="30"/>
        </w:rPr>
        <w:t>专业毕业设计（论文）题目一览表</w:t>
      </w:r>
    </w:p>
    <w:tbl>
      <w:tblPr>
        <w:tblStyle w:val="10"/>
        <w:tblW w:w="14567" w:type="dxa"/>
        <w:jc w:val="center"/>
        <w:tblLayout w:type="autofit"/>
        <w:tblCellMar>
          <w:top w:w="0" w:type="dxa"/>
          <w:left w:w="108" w:type="dxa"/>
          <w:bottom w:w="0" w:type="dxa"/>
          <w:right w:w="108" w:type="dxa"/>
        </w:tblCellMar>
      </w:tblPr>
      <w:tblGrid>
        <w:gridCol w:w="576"/>
        <w:gridCol w:w="4396"/>
        <w:gridCol w:w="8930"/>
        <w:gridCol w:w="665"/>
      </w:tblGrid>
      <w:tr w14:paraId="0DD08157">
        <w:tblPrEx>
          <w:tblCellMar>
            <w:top w:w="0" w:type="dxa"/>
            <w:left w:w="108" w:type="dxa"/>
            <w:bottom w:w="0" w:type="dxa"/>
            <w:right w:w="108" w:type="dxa"/>
          </w:tblCellMar>
        </w:tblPrEx>
        <w:trPr>
          <w:trHeight w:val="20" w:hRule="atLeast"/>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53F6DAC9">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序号</w:t>
            </w:r>
          </w:p>
        </w:tc>
        <w:tc>
          <w:tcPr>
            <w:tcW w:w="4396" w:type="dxa"/>
            <w:tcBorders>
              <w:top w:val="single" w:color="auto" w:sz="4" w:space="0"/>
              <w:left w:val="nil"/>
              <w:bottom w:val="single" w:color="auto" w:sz="4" w:space="0"/>
              <w:right w:val="single" w:color="auto" w:sz="4" w:space="0"/>
            </w:tcBorders>
            <w:shd w:val="clear" w:color="auto" w:fill="auto"/>
            <w:vAlign w:val="center"/>
          </w:tcPr>
          <w:p w14:paraId="6397D492">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题目名称</w:t>
            </w:r>
          </w:p>
        </w:tc>
        <w:tc>
          <w:tcPr>
            <w:tcW w:w="8930" w:type="dxa"/>
            <w:tcBorders>
              <w:top w:val="single" w:color="auto" w:sz="4" w:space="0"/>
              <w:left w:val="nil"/>
              <w:bottom w:val="single" w:color="auto" w:sz="4" w:space="0"/>
              <w:right w:val="single" w:color="auto" w:sz="4" w:space="0"/>
            </w:tcBorders>
            <w:shd w:val="clear" w:color="auto" w:fill="auto"/>
            <w:vAlign w:val="center"/>
          </w:tcPr>
          <w:p w14:paraId="4544B584">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对本题目的解读（可包含知识点、对写作技巧的要求等）</w:t>
            </w:r>
          </w:p>
        </w:tc>
        <w:tc>
          <w:tcPr>
            <w:tcW w:w="665" w:type="dxa"/>
            <w:tcBorders>
              <w:top w:val="single" w:color="auto" w:sz="4" w:space="0"/>
              <w:left w:val="nil"/>
              <w:bottom w:val="single" w:color="auto" w:sz="4" w:space="0"/>
              <w:right w:val="single" w:color="auto" w:sz="4" w:space="0"/>
            </w:tcBorders>
            <w:shd w:val="clear" w:color="auto" w:fill="auto"/>
            <w:vAlign w:val="center"/>
          </w:tcPr>
          <w:p w14:paraId="40D07909">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备注</w:t>
            </w:r>
          </w:p>
        </w:tc>
      </w:tr>
      <w:tr w14:paraId="0481224B">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467C5B83">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1</w:t>
            </w:r>
          </w:p>
        </w:tc>
        <w:tc>
          <w:tcPr>
            <w:tcW w:w="4396" w:type="dxa"/>
            <w:tcBorders>
              <w:top w:val="nil"/>
              <w:left w:val="nil"/>
              <w:bottom w:val="single" w:color="auto" w:sz="4" w:space="0"/>
              <w:right w:val="single" w:color="auto" w:sz="4" w:space="0"/>
            </w:tcBorders>
            <w:shd w:val="clear" w:color="auto" w:fill="auto"/>
            <w:vAlign w:val="center"/>
          </w:tcPr>
          <w:p w14:paraId="0F074B31">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基于数字孪生的供应链库存管理优化</w:t>
            </w:r>
          </w:p>
        </w:tc>
        <w:tc>
          <w:tcPr>
            <w:tcW w:w="8930" w:type="dxa"/>
            <w:tcBorders>
              <w:top w:val="nil"/>
              <w:left w:val="nil"/>
              <w:bottom w:val="single" w:color="auto" w:sz="4" w:space="0"/>
              <w:right w:val="single" w:color="auto" w:sz="4" w:space="0"/>
            </w:tcBorders>
            <w:shd w:val="clear" w:color="auto" w:fill="auto"/>
            <w:vAlign w:val="center"/>
          </w:tcPr>
          <w:p w14:paraId="43C53FBC">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掌握库存管理现状，基于数字孪生技术优化库存模型，进行仿真模拟对优化内容进行分析。</w:t>
            </w:r>
          </w:p>
        </w:tc>
        <w:tc>
          <w:tcPr>
            <w:tcW w:w="665" w:type="dxa"/>
            <w:tcBorders>
              <w:top w:val="nil"/>
              <w:left w:val="nil"/>
              <w:bottom w:val="single" w:color="auto" w:sz="4" w:space="0"/>
              <w:right w:val="single" w:color="auto" w:sz="4" w:space="0"/>
            </w:tcBorders>
            <w:shd w:val="clear" w:color="auto" w:fill="auto"/>
            <w:vAlign w:val="center"/>
          </w:tcPr>
          <w:p w14:paraId="31E7B14D">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2C29972E">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0429F81C">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2</w:t>
            </w:r>
          </w:p>
        </w:tc>
        <w:tc>
          <w:tcPr>
            <w:tcW w:w="4396" w:type="dxa"/>
            <w:tcBorders>
              <w:top w:val="nil"/>
              <w:left w:val="nil"/>
              <w:bottom w:val="single" w:color="auto" w:sz="4" w:space="0"/>
              <w:right w:val="single" w:color="auto" w:sz="4" w:space="0"/>
            </w:tcBorders>
            <w:shd w:val="clear" w:color="auto" w:fill="auto"/>
            <w:vAlign w:val="center"/>
          </w:tcPr>
          <w:p w14:paraId="3748CBA3">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双碳目标下高耗能行业供应链协同减排投入决策</w:t>
            </w:r>
          </w:p>
        </w:tc>
        <w:tc>
          <w:tcPr>
            <w:tcW w:w="8930" w:type="dxa"/>
            <w:tcBorders>
              <w:top w:val="nil"/>
              <w:left w:val="nil"/>
              <w:bottom w:val="single" w:color="auto" w:sz="4" w:space="0"/>
              <w:right w:val="single" w:color="auto" w:sz="4" w:space="0"/>
            </w:tcBorders>
            <w:shd w:val="clear" w:color="auto" w:fill="auto"/>
            <w:vAlign w:val="center"/>
          </w:tcPr>
          <w:p w14:paraId="0473358A">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掌握高能耗行业特性，通过建立模型研究在不同决策环境下高耗能行业供应链各节点企业的最佳碳减排投入决策  ，得出相关结论。</w:t>
            </w:r>
          </w:p>
        </w:tc>
        <w:tc>
          <w:tcPr>
            <w:tcW w:w="665" w:type="dxa"/>
            <w:tcBorders>
              <w:top w:val="nil"/>
              <w:left w:val="nil"/>
              <w:bottom w:val="single" w:color="auto" w:sz="4" w:space="0"/>
              <w:right w:val="single" w:color="auto" w:sz="4" w:space="0"/>
            </w:tcBorders>
            <w:shd w:val="clear" w:color="auto" w:fill="auto"/>
            <w:vAlign w:val="center"/>
          </w:tcPr>
          <w:p w14:paraId="68F3B364">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3B18D836">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452076EF">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3</w:t>
            </w:r>
          </w:p>
        </w:tc>
        <w:tc>
          <w:tcPr>
            <w:tcW w:w="4396" w:type="dxa"/>
            <w:tcBorders>
              <w:top w:val="nil"/>
              <w:left w:val="nil"/>
              <w:bottom w:val="single" w:color="auto" w:sz="4" w:space="0"/>
              <w:right w:val="single" w:color="auto" w:sz="4" w:space="0"/>
            </w:tcBorders>
            <w:shd w:val="clear" w:color="auto" w:fill="auto"/>
            <w:vAlign w:val="center"/>
          </w:tcPr>
          <w:p w14:paraId="08A2EE65">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多级订货信息的一致性评价</w:t>
            </w:r>
          </w:p>
        </w:tc>
        <w:tc>
          <w:tcPr>
            <w:tcW w:w="8930" w:type="dxa"/>
            <w:tcBorders>
              <w:top w:val="nil"/>
              <w:left w:val="nil"/>
              <w:bottom w:val="single" w:color="auto" w:sz="4" w:space="0"/>
              <w:right w:val="single" w:color="auto" w:sz="4" w:space="0"/>
            </w:tcBorders>
            <w:shd w:val="clear" w:color="auto" w:fill="auto"/>
            <w:vAlign w:val="center"/>
          </w:tcPr>
          <w:p w14:paraId="37B698E0">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构建供应链订货信息一致性的评价体系，对订货信息提出相关建议。</w:t>
            </w:r>
          </w:p>
        </w:tc>
        <w:tc>
          <w:tcPr>
            <w:tcW w:w="665" w:type="dxa"/>
            <w:tcBorders>
              <w:top w:val="nil"/>
              <w:left w:val="nil"/>
              <w:bottom w:val="single" w:color="auto" w:sz="4" w:space="0"/>
              <w:right w:val="single" w:color="auto" w:sz="4" w:space="0"/>
            </w:tcBorders>
            <w:shd w:val="clear" w:color="auto" w:fill="auto"/>
            <w:vAlign w:val="center"/>
          </w:tcPr>
          <w:p w14:paraId="5BE7D7A8">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45A72153">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44B132FA">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4</w:t>
            </w:r>
          </w:p>
        </w:tc>
        <w:tc>
          <w:tcPr>
            <w:tcW w:w="4396" w:type="dxa"/>
            <w:tcBorders>
              <w:top w:val="nil"/>
              <w:left w:val="nil"/>
              <w:bottom w:val="single" w:color="auto" w:sz="4" w:space="0"/>
              <w:right w:val="single" w:color="auto" w:sz="4" w:space="0"/>
            </w:tcBorders>
            <w:shd w:val="clear" w:color="auto" w:fill="auto"/>
            <w:vAlign w:val="center"/>
          </w:tcPr>
          <w:p w14:paraId="549D2F45">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基于区块链技术的供应链碳排放协同控制与决策</w:t>
            </w:r>
          </w:p>
        </w:tc>
        <w:tc>
          <w:tcPr>
            <w:tcW w:w="8930" w:type="dxa"/>
            <w:tcBorders>
              <w:top w:val="nil"/>
              <w:left w:val="nil"/>
              <w:bottom w:val="single" w:color="auto" w:sz="4" w:space="0"/>
              <w:right w:val="single" w:color="auto" w:sz="4" w:space="0"/>
            </w:tcBorders>
            <w:shd w:val="clear" w:color="auto" w:fill="auto"/>
            <w:vAlign w:val="center"/>
          </w:tcPr>
          <w:p w14:paraId="71716CAF">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掌握区块链技术应用现状，构建决策模型研究其在供应链碳排放中的作用，进行算例分析，得出相关结论。</w:t>
            </w:r>
          </w:p>
        </w:tc>
        <w:tc>
          <w:tcPr>
            <w:tcW w:w="665" w:type="dxa"/>
            <w:tcBorders>
              <w:top w:val="nil"/>
              <w:left w:val="nil"/>
              <w:bottom w:val="single" w:color="auto" w:sz="4" w:space="0"/>
              <w:right w:val="single" w:color="auto" w:sz="4" w:space="0"/>
            </w:tcBorders>
            <w:shd w:val="clear" w:color="auto" w:fill="auto"/>
            <w:vAlign w:val="center"/>
          </w:tcPr>
          <w:p w14:paraId="095E1854">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151DA30C">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0AC96DD0">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5</w:t>
            </w:r>
          </w:p>
        </w:tc>
        <w:tc>
          <w:tcPr>
            <w:tcW w:w="4396" w:type="dxa"/>
            <w:tcBorders>
              <w:top w:val="nil"/>
              <w:left w:val="nil"/>
              <w:bottom w:val="single" w:color="auto" w:sz="4" w:space="0"/>
              <w:right w:val="single" w:color="auto" w:sz="4" w:space="0"/>
            </w:tcBorders>
            <w:shd w:val="clear" w:color="auto" w:fill="auto"/>
            <w:vAlign w:val="center"/>
          </w:tcPr>
          <w:p w14:paraId="0C9C2323">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医药电商药品夜间配送路径优化研究</w:t>
            </w:r>
          </w:p>
        </w:tc>
        <w:tc>
          <w:tcPr>
            <w:tcW w:w="8930" w:type="dxa"/>
            <w:tcBorders>
              <w:top w:val="nil"/>
              <w:left w:val="nil"/>
              <w:bottom w:val="single" w:color="auto" w:sz="4" w:space="0"/>
              <w:right w:val="single" w:color="auto" w:sz="4" w:space="0"/>
            </w:tcBorders>
            <w:shd w:val="clear" w:color="auto" w:fill="auto"/>
            <w:vAlign w:val="center"/>
          </w:tcPr>
          <w:p w14:paraId="7230DA8C">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掌握医药电商药品配送现状，结合夜间配送的特点构建模型，进行算例分析得出优化结论</w:t>
            </w:r>
          </w:p>
        </w:tc>
        <w:tc>
          <w:tcPr>
            <w:tcW w:w="665" w:type="dxa"/>
            <w:tcBorders>
              <w:top w:val="nil"/>
              <w:left w:val="nil"/>
              <w:bottom w:val="single" w:color="auto" w:sz="4" w:space="0"/>
              <w:right w:val="single" w:color="auto" w:sz="4" w:space="0"/>
            </w:tcBorders>
            <w:shd w:val="clear" w:color="auto" w:fill="auto"/>
            <w:vAlign w:val="center"/>
          </w:tcPr>
          <w:p w14:paraId="0A9E360F">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2C0588E4">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174EBB84">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6</w:t>
            </w:r>
          </w:p>
        </w:tc>
        <w:tc>
          <w:tcPr>
            <w:tcW w:w="4396" w:type="dxa"/>
            <w:tcBorders>
              <w:top w:val="nil"/>
              <w:left w:val="nil"/>
              <w:bottom w:val="single" w:color="auto" w:sz="4" w:space="0"/>
              <w:right w:val="single" w:color="auto" w:sz="4" w:space="0"/>
            </w:tcBorders>
            <w:shd w:val="clear" w:color="auto" w:fill="auto"/>
            <w:vAlign w:val="center"/>
          </w:tcPr>
          <w:p w14:paraId="1AFA3D9F">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消费者绿色偏好下考虑政府奖励的绿色闭环供应链决策</w:t>
            </w:r>
          </w:p>
        </w:tc>
        <w:tc>
          <w:tcPr>
            <w:tcW w:w="8930" w:type="dxa"/>
            <w:tcBorders>
              <w:top w:val="nil"/>
              <w:left w:val="nil"/>
              <w:bottom w:val="single" w:color="auto" w:sz="4" w:space="0"/>
              <w:right w:val="single" w:color="auto" w:sz="4" w:space="0"/>
            </w:tcBorders>
            <w:shd w:val="clear" w:color="auto" w:fill="auto"/>
            <w:vAlign w:val="center"/>
          </w:tcPr>
          <w:p w14:paraId="0F40DDA1">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掌握消费者偏好相关理论，建立模型研究政府是否奖励对于企业回收的影响，进行算例分析，得出相关结论</w:t>
            </w:r>
          </w:p>
        </w:tc>
        <w:tc>
          <w:tcPr>
            <w:tcW w:w="665" w:type="dxa"/>
            <w:tcBorders>
              <w:top w:val="nil"/>
              <w:left w:val="nil"/>
              <w:bottom w:val="single" w:color="auto" w:sz="4" w:space="0"/>
              <w:right w:val="single" w:color="auto" w:sz="4" w:space="0"/>
            </w:tcBorders>
            <w:shd w:val="clear" w:color="auto" w:fill="auto"/>
            <w:vAlign w:val="center"/>
          </w:tcPr>
          <w:p w14:paraId="470537F9">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0C9C7124">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4C81276E">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7</w:t>
            </w:r>
          </w:p>
        </w:tc>
        <w:tc>
          <w:tcPr>
            <w:tcW w:w="4396" w:type="dxa"/>
            <w:tcBorders>
              <w:top w:val="nil"/>
              <w:left w:val="nil"/>
              <w:bottom w:val="single" w:color="auto" w:sz="4" w:space="0"/>
              <w:right w:val="single" w:color="auto" w:sz="4" w:space="0"/>
            </w:tcBorders>
            <w:shd w:val="clear" w:color="auto" w:fill="auto"/>
            <w:vAlign w:val="center"/>
          </w:tcPr>
          <w:p w14:paraId="4D65EB4D">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A企业物流服务质量提升方案研究</w:t>
            </w:r>
          </w:p>
        </w:tc>
        <w:tc>
          <w:tcPr>
            <w:tcW w:w="8930" w:type="dxa"/>
            <w:tcBorders>
              <w:top w:val="nil"/>
              <w:left w:val="nil"/>
              <w:bottom w:val="single" w:color="auto" w:sz="4" w:space="0"/>
              <w:right w:val="single" w:color="auto" w:sz="4" w:space="0"/>
            </w:tcBorders>
            <w:shd w:val="clear" w:color="auto" w:fill="auto"/>
            <w:vAlign w:val="center"/>
          </w:tcPr>
          <w:p w14:paraId="7092FE5B">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掌握企业物流服务质量现状，研究A企业物流服务质量提升的方式，给出改进建议。</w:t>
            </w:r>
          </w:p>
        </w:tc>
        <w:tc>
          <w:tcPr>
            <w:tcW w:w="665" w:type="dxa"/>
            <w:tcBorders>
              <w:top w:val="nil"/>
              <w:left w:val="nil"/>
              <w:bottom w:val="single" w:color="auto" w:sz="4" w:space="0"/>
              <w:right w:val="single" w:color="auto" w:sz="4" w:space="0"/>
            </w:tcBorders>
            <w:shd w:val="clear" w:color="auto" w:fill="auto"/>
            <w:vAlign w:val="center"/>
          </w:tcPr>
          <w:p w14:paraId="5035218B">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2D649159">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5C5E07F1">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8</w:t>
            </w:r>
          </w:p>
        </w:tc>
        <w:tc>
          <w:tcPr>
            <w:tcW w:w="4396" w:type="dxa"/>
            <w:tcBorders>
              <w:top w:val="nil"/>
              <w:left w:val="nil"/>
              <w:bottom w:val="single" w:color="auto" w:sz="4" w:space="0"/>
              <w:right w:val="single" w:color="auto" w:sz="4" w:space="0"/>
            </w:tcBorders>
            <w:shd w:val="clear" w:color="auto" w:fill="auto"/>
            <w:vAlign w:val="center"/>
          </w:tcPr>
          <w:p w14:paraId="518DB027">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T市电动物流车充电设施选址问题研究</w:t>
            </w:r>
          </w:p>
        </w:tc>
        <w:tc>
          <w:tcPr>
            <w:tcW w:w="8930" w:type="dxa"/>
            <w:tcBorders>
              <w:top w:val="nil"/>
              <w:left w:val="nil"/>
              <w:bottom w:val="single" w:color="auto" w:sz="4" w:space="0"/>
              <w:right w:val="single" w:color="auto" w:sz="4" w:space="0"/>
            </w:tcBorders>
            <w:shd w:val="clear" w:color="auto" w:fill="auto"/>
            <w:vAlign w:val="center"/>
          </w:tcPr>
          <w:p w14:paraId="4B77F0CC">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掌握</w:t>
            </w:r>
            <w:r>
              <w:rPr>
                <w:rFonts w:ascii="宋体" w:hAnsi="宋体" w:cs="宋体"/>
                <w:color w:val="000000"/>
                <w:kern w:val="0"/>
                <w:sz w:val="18"/>
                <w:szCs w:val="18"/>
              </w:rPr>
              <w:t>T</w:t>
            </w:r>
            <w:r>
              <w:rPr>
                <w:rFonts w:hint="eastAsia" w:ascii="宋体" w:hAnsi="宋体" w:cs="宋体"/>
                <w:color w:val="000000"/>
                <w:kern w:val="0"/>
                <w:sz w:val="18"/>
                <w:szCs w:val="18"/>
              </w:rPr>
              <w:t>市电动车发展现状，结合</w:t>
            </w:r>
            <w:r>
              <w:rPr>
                <w:rFonts w:ascii="宋体" w:hAnsi="宋体" w:cs="宋体"/>
                <w:color w:val="000000"/>
                <w:kern w:val="0"/>
                <w:sz w:val="18"/>
                <w:szCs w:val="18"/>
              </w:rPr>
              <w:t>T</w:t>
            </w:r>
            <w:r>
              <w:rPr>
                <w:rFonts w:hint="eastAsia" w:ascii="宋体" w:hAnsi="宋体" w:cs="宋体"/>
                <w:color w:val="000000"/>
                <w:kern w:val="0"/>
                <w:sz w:val="18"/>
                <w:szCs w:val="18"/>
              </w:rPr>
              <w:t>市特点构建充电设施选址模型并求解，给出相关建议。</w:t>
            </w:r>
          </w:p>
        </w:tc>
        <w:tc>
          <w:tcPr>
            <w:tcW w:w="665" w:type="dxa"/>
            <w:tcBorders>
              <w:top w:val="nil"/>
              <w:left w:val="nil"/>
              <w:bottom w:val="single" w:color="auto" w:sz="4" w:space="0"/>
              <w:right w:val="single" w:color="auto" w:sz="4" w:space="0"/>
            </w:tcBorders>
            <w:shd w:val="clear" w:color="auto" w:fill="auto"/>
            <w:vAlign w:val="center"/>
          </w:tcPr>
          <w:p w14:paraId="2213AEFF">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14DB359A">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369F45B2">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9</w:t>
            </w:r>
          </w:p>
        </w:tc>
        <w:tc>
          <w:tcPr>
            <w:tcW w:w="4396" w:type="dxa"/>
            <w:tcBorders>
              <w:top w:val="nil"/>
              <w:left w:val="nil"/>
              <w:bottom w:val="single" w:color="auto" w:sz="4" w:space="0"/>
              <w:right w:val="single" w:color="auto" w:sz="4" w:space="0"/>
            </w:tcBorders>
            <w:shd w:val="clear" w:color="auto" w:fill="auto"/>
            <w:vAlign w:val="center"/>
          </w:tcPr>
          <w:p w14:paraId="6443B071">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契约合作下政府与协议转产企业应急医疗物资储备决策研究</w:t>
            </w:r>
          </w:p>
        </w:tc>
        <w:tc>
          <w:tcPr>
            <w:tcW w:w="8930" w:type="dxa"/>
            <w:tcBorders>
              <w:top w:val="nil"/>
              <w:left w:val="nil"/>
              <w:bottom w:val="single" w:color="auto" w:sz="4" w:space="0"/>
              <w:right w:val="single" w:color="auto" w:sz="4" w:space="0"/>
            </w:tcBorders>
            <w:shd w:val="clear" w:color="auto" w:fill="auto"/>
            <w:vAlign w:val="center"/>
          </w:tcPr>
          <w:p w14:paraId="58D05366">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掌握应急物资储备现状，构建政企合作储备模型研究最优储备数量，进行算例分析，得出相关结论。</w:t>
            </w:r>
          </w:p>
        </w:tc>
        <w:tc>
          <w:tcPr>
            <w:tcW w:w="665" w:type="dxa"/>
            <w:tcBorders>
              <w:top w:val="nil"/>
              <w:left w:val="nil"/>
              <w:bottom w:val="single" w:color="auto" w:sz="4" w:space="0"/>
              <w:right w:val="single" w:color="auto" w:sz="4" w:space="0"/>
            </w:tcBorders>
            <w:shd w:val="clear" w:color="auto" w:fill="auto"/>
            <w:vAlign w:val="center"/>
          </w:tcPr>
          <w:p w14:paraId="1F32D2CB">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5D7E3EB0">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7FE4AFBB">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10</w:t>
            </w:r>
          </w:p>
        </w:tc>
        <w:tc>
          <w:tcPr>
            <w:tcW w:w="4396" w:type="dxa"/>
            <w:tcBorders>
              <w:top w:val="nil"/>
              <w:left w:val="nil"/>
              <w:bottom w:val="single" w:color="auto" w:sz="4" w:space="0"/>
              <w:right w:val="single" w:color="auto" w:sz="4" w:space="0"/>
            </w:tcBorders>
            <w:shd w:val="clear" w:color="auto" w:fill="auto"/>
            <w:vAlign w:val="center"/>
          </w:tcPr>
          <w:p w14:paraId="1CF597AE">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众包物流服务风险识别及控制策略研究</w:t>
            </w:r>
          </w:p>
        </w:tc>
        <w:tc>
          <w:tcPr>
            <w:tcW w:w="8930" w:type="dxa"/>
            <w:tcBorders>
              <w:top w:val="nil"/>
              <w:left w:val="nil"/>
              <w:bottom w:val="single" w:color="auto" w:sz="4" w:space="0"/>
              <w:right w:val="single" w:color="auto" w:sz="4" w:space="0"/>
            </w:tcBorders>
            <w:shd w:val="clear" w:color="auto" w:fill="auto"/>
            <w:vAlign w:val="center"/>
          </w:tcPr>
          <w:p w14:paraId="03AE3328">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掌握众包物流服务风险相关理论，研究其风险识别和控制策略，收集数据进行分析，得出相关结论。</w:t>
            </w:r>
          </w:p>
        </w:tc>
        <w:tc>
          <w:tcPr>
            <w:tcW w:w="665" w:type="dxa"/>
            <w:tcBorders>
              <w:top w:val="nil"/>
              <w:left w:val="nil"/>
              <w:bottom w:val="single" w:color="auto" w:sz="4" w:space="0"/>
              <w:right w:val="single" w:color="auto" w:sz="4" w:space="0"/>
            </w:tcBorders>
            <w:shd w:val="clear" w:color="auto" w:fill="auto"/>
            <w:vAlign w:val="center"/>
          </w:tcPr>
          <w:p w14:paraId="6DE51F1A">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5D02B4BC">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28C62E1C">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11</w:t>
            </w:r>
          </w:p>
        </w:tc>
        <w:tc>
          <w:tcPr>
            <w:tcW w:w="4396" w:type="dxa"/>
            <w:tcBorders>
              <w:top w:val="nil"/>
              <w:left w:val="nil"/>
              <w:bottom w:val="single" w:color="auto" w:sz="4" w:space="0"/>
              <w:right w:val="single" w:color="auto" w:sz="4" w:space="0"/>
            </w:tcBorders>
            <w:shd w:val="clear" w:color="auto" w:fill="auto"/>
            <w:vAlign w:val="center"/>
          </w:tcPr>
          <w:p w14:paraId="7DDA4195">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国家物流枢纽建设视角下枢纽评价指标体系的研究</w:t>
            </w:r>
          </w:p>
        </w:tc>
        <w:tc>
          <w:tcPr>
            <w:tcW w:w="8930" w:type="dxa"/>
            <w:tcBorders>
              <w:top w:val="nil"/>
              <w:left w:val="nil"/>
              <w:bottom w:val="single" w:color="auto" w:sz="4" w:space="0"/>
              <w:right w:val="single" w:color="auto" w:sz="4" w:space="0"/>
            </w:tcBorders>
            <w:shd w:val="clear" w:color="auto" w:fill="auto"/>
            <w:vAlign w:val="center"/>
          </w:tcPr>
          <w:p w14:paraId="1C0F23EC">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掌握国家物流枢纽建设现状，构建枢纽评价指标体系，收集数据进行实证研究，提出相关建议。</w:t>
            </w:r>
          </w:p>
        </w:tc>
        <w:tc>
          <w:tcPr>
            <w:tcW w:w="665" w:type="dxa"/>
            <w:tcBorders>
              <w:top w:val="nil"/>
              <w:left w:val="nil"/>
              <w:bottom w:val="single" w:color="auto" w:sz="4" w:space="0"/>
              <w:right w:val="single" w:color="auto" w:sz="4" w:space="0"/>
            </w:tcBorders>
            <w:shd w:val="clear" w:color="auto" w:fill="auto"/>
            <w:vAlign w:val="center"/>
          </w:tcPr>
          <w:p w14:paraId="310EFA6F">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101340B7">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47E8F988">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12</w:t>
            </w:r>
          </w:p>
        </w:tc>
        <w:tc>
          <w:tcPr>
            <w:tcW w:w="4396" w:type="dxa"/>
            <w:tcBorders>
              <w:top w:val="nil"/>
              <w:left w:val="nil"/>
              <w:bottom w:val="single" w:color="auto" w:sz="4" w:space="0"/>
              <w:right w:val="single" w:color="auto" w:sz="4" w:space="0"/>
            </w:tcBorders>
            <w:shd w:val="clear" w:color="auto" w:fill="auto"/>
            <w:vAlign w:val="center"/>
          </w:tcPr>
          <w:p w14:paraId="7E78C60F">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考虑战略消费者行为的易腐产品定价策略研究</w:t>
            </w:r>
          </w:p>
        </w:tc>
        <w:tc>
          <w:tcPr>
            <w:tcW w:w="8930" w:type="dxa"/>
            <w:tcBorders>
              <w:top w:val="nil"/>
              <w:left w:val="nil"/>
              <w:bottom w:val="single" w:color="auto" w:sz="4" w:space="0"/>
              <w:right w:val="single" w:color="auto" w:sz="4" w:space="0"/>
            </w:tcBorders>
            <w:shd w:val="clear" w:color="auto" w:fill="auto"/>
            <w:vAlign w:val="center"/>
          </w:tcPr>
          <w:p w14:paraId="1AB4E5F6">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掌握战略消费者行为相关理论，构建考虑该理论的易腐产品定价模型，对其参数进行分析，得出相关结论。</w:t>
            </w:r>
          </w:p>
        </w:tc>
        <w:tc>
          <w:tcPr>
            <w:tcW w:w="665" w:type="dxa"/>
            <w:tcBorders>
              <w:top w:val="nil"/>
              <w:left w:val="nil"/>
              <w:bottom w:val="single" w:color="auto" w:sz="4" w:space="0"/>
              <w:right w:val="single" w:color="auto" w:sz="4" w:space="0"/>
            </w:tcBorders>
            <w:shd w:val="clear" w:color="auto" w:fill="auto"/>
            <w:vAlign w:val="center"/>
          </w:tcPr>
          <w:p w14:paraId="22BB90D6">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46617391">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6D2D9D3B">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13</w:t>
            </w:r>
          </w:p>
        </w:tc>
        <w:tc>
          <w:tcPr>
            <w:tcW w:w="4396" w:type="dxa"/>
            <w:tcBorders>
              <w:top w:val="nil"/>
              <w:left w:val="nil"/>
              <w:bottom w:val="single" w:color="auto" w:sz="4" w:space="0"/>
              <w:right w:val="single" w:color="auto" w:sz="4" w:space="0"/>
            </w:tcBorders>
            <w:shd w:val="clear" w:color="auto" w:fill="auto"/>
            <w:vAlign w:val="center"/>
          </w:tcPr>
          <w:p w14:paraId="646D19E2">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全渠道下考虑溢出效应的“线上购买、线下退货”模式研究</w:t>
            </w:r>
          </w:p>
        </w:tc>
        <w:tc>
          <w:tcPr>
            <w:tcW w:w="8930" w:type="dxa"/>
            <w:tcBorders>
              <w:top w:val="nil"/>
              <w:left w:val="nil"/>
              <w:bottom w:val="single" w:color="auto" w:sz="4" w:space="0"/>
              <w:right w:val="single" w:color="auto" w:sz="4" w:space="0"/>
            </w:tcBorders>
            <w:shd w:val="clear" w:color="auto" w:fill="auto"/>
            <w:vAlign w:val="center"/>
          </w:tcPr>
          <w:p w14:paraId="71B754C9">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研究全渠道溢出效应的适用模式，构建不同模式下的决策模型并分析，得出相关结论。</w:t>
            </w:r>
          </w:p>
        </w:tc>
        <w:tc>
          <w:tcPr>
            <w:tcW w:w="665" w:type="dxa"/>
            <w:tcBorders>
              <w:top w:val="nil"/>
              <w:left w:val="nil"/>
              <w:bottom w:val="single" w:color="auto" w:sz="4" w:space="0"/>
              <w:right w:val="single" w:color="auto" w:sz="4" w:space="0"/>
            </w:tcBorders>
            <w:shd w:val="clear" w:color="auto" w:fill="auto"/>
            <w:vAlign w:val="center"/>
          </w:tcPr>
          <w:p w14:paraId="10F0222C">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09292081">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07B560B0">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14</w:t>
            </w:r>
          </w:p>
        </w:tc>
        <w:tc>
          <w:tcPr>
            <w:tcW w:w="4396" w:type="dxa"/>
            <w:tcBorders>
              <w:top w:val="nil"/>
              <w:left w:val="nil"/>
              <w:bottom w:val="single" w:color="auto" w:sz="4" w:space="0"/>
              <w:right w:val="single" w:color="auto" w:sz="4" w:space="0"/>
            </w:tcBorders>
            <w:shd w:val="clear" w:color="auto" w:fill="auto"/>
            <w:vAlign w:val="center"/>
          </w:tcPr>
          <w:p w14:paraId="0C50AA16">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基于DDMRP的某企业库存控制研究</w:t>
            </w:r>
          </w:p>
        </w:tc>
        <w:tc>
          <w:tcPr>
            <w:tcW w:w="8930" w:type="dxa"/>
            <w:tcBorders>
              <w:top w:val="nil"/>
              <w:left w:val="nil"/>
              <w:bottom w:val="single" w:color="auto" w:sz="4" w:space="0"/>
              <w:right w:val="single" w:color="auto" w:sz="4" w:space="0"/>
            </w:tcBorders>
            <w:shd w:val="clear" w:color="auto" w:fill="auto"/>
            <w:vAlign w:val="center"/>
          </w:tcPr>
          <w:p w14:paraId="004F126C">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掌握</w:t>
            </w:r>
            <w:r>
              <w:rPr>
                <w:rFonts w:ascii="宋体" w:hAnsi="宋体" w:cs="宋体"/>
                <w:color w:val="000000"/>
                <w:kern w:val="0"/>
                <w:sz w:val="18"/>
                <w:szCs w:val="18"/>
              </w:rPr>
              <w:t>DDMRP</w:t>
            </w:r>
            <w:r>
              <w:rPr>
                <w:rFonts w:hint="eastAsia" w:ascii="宋体" w:hAnsi="宋体" w:cs="宋体"/>
                <w:color w:val="000000"/>
                <w:kern w:val="0"/>
                <w:sz w:val="18"/>
                <w:szCs w:val="18"/>
              </w:rPr>
              <w:t>相关理论，向某企业库存控制提供方案，给出优化建议。</w:t>
            </w:r>
          </w:p>
        </w:tc>
        <w:tc>
          <w:tcPr>
            <w:tcW w:w="665" w:type="dxa"/>
            <w:tcBorders>
              <w:top w:val="nil"/>
              <w:left w:val="nil"/>
              <w:bottom w:val="single" w:color="auto" w:sz="4" w:space="0"/>
              <w:right w:val="single" w:color="auto" w:sz="4" w:space="0"/>
            </w:tcBorders>
            <w:shd w:val="clear" w:color="auto" w:fill="auto"/>
            <w:vAlign w:val="center"/>
          </w:tcPr>
          <w:p w14:paraId="0D5D4A36">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7B02FA98">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66AE3EDD">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15</w:t>
            </w:r>
          </w:p>
        </w:tc>
        <w:tc>
          <w:tcPr>
            <w:tcW w:w="4396" w:type="dxa"/>
            <w:tcBorders>
              <w:top w:val="nil"/>
              <w:left w:val="nil"/>
              <w:bottom w:val="single" w:color="auto" w:sz="4" w:space="0"/>
              <w:right w:val="single" w:color="auto" w:sz="4" w:space="0"/>
            </w:tcBorders>
            <w:shd w:val="clear" w:color="auto" w:fill="auto"/>
            <w:vAlign w:val="center"/>
          </w:tcPr>
          <w:p w14:paraId="34F53818">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国铁商城线下物流支撑体系设计</w:t>
            </w:r>
          </w:p>
        </w:tc>
        <w:tc>
          <w:tcPr>
            <w:tcW w:w="8930" w:type="dxa"/>
            <w:tcBorders>
              <w:top w:val="nil"/>
              <w:left w:val="nil"/>
              <w:bottom w:val="single" w:color="auto" w:sz="4" w:space="0"/>
              <w:right w:val="single" w:color="auto" w:sz="4" w:space="0"/>
            </w:tcBorders>
            <w:shd w:val="clear" w:color="auto" w:fill="auto"/>
            <w:vAlign w:val="center"/>
          </w:tcPr>
          <w:p w14:paraId="23A31924">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掌握国铁商城发展现状，分析其线下物流支撑体系的必要性，并给出体系建立方案，提出相关建议。</w:t>
            </w:r>
          </w:p>
        </w:tc>
        <w:tc>
          <w:tcPr>
            <w:tcW w:w="665" w:type="dxa"/>
            <w:tcBorders>
              <w:top w:val="nil"/>
              <w:left w:val="nil"/>
              <w:bottom w:val="single" w:color="auto" w:sz="4" w:space="0"/>
              <w:right w:val="single" w:color="auto" w:sz="4" w:space="0"/>
            </w:tcBorders>
            <w:shd w:val="clear" w:color="auto" w:fill="auto"/>
            <w:vAlign w:val="center"/>
          </w:tcPr>
          <w:p w14:paraId="46B21977">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47AF90A9">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5B5774B1">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16</w:t>
            </w:r>
          </w:p>
        </w:tc>
        <w:tc>
          <w:tcPr>
            <w:tcW w:w="4396" w:type="dxa"/>
            <w:tcBorders>
              <w:top w:val="nil"/>
              <w:left w:val="nil"/>
              <w:bottom w:val="single" w:color="auto" w:sz="4" w:space="0"/>
              <w:right w:val="single" w:color="auto" w:sz="4" w:space="0"/>
            </w:tcBorders>
            <w:shd w:val="clear" w:color="auto" w:fill="auto"/>
            <w:vAlign w:val="center"/>
          </w:tcPr>
          <w:p w14:paraId="58547E0D">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考虑决策者过度自信行为的预防性库存转运问题</w:t>
            </w:r>
          </w:p>
        </w:tc>
        <w:tc>
          <w:tcPr>
            <w:tcW w:w="8930" w:type="dxa"/>
            <w:tcBorders>
              <w:top w:val="nil"/>
              <w:left w:val="nil"/>
              <w:bottom w:val="single" w:color="auto" w:sz="4" w:space="0"/>
              <w:right w:val="single" w:color="auto" w:sz="4" w:space="0"/>
            </w:tcBorders>
            <w:shd w:val="clear" w:color="auto" w:fill="auto"/>
            <w:vAlign w:val="center"/>
          </w:tcPr>
          <w:p w14:paraId="7686102D">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掌握过度自信行为相关理论，构建预防性和非预防性决策模型，进行对比分析，得出相关结论。</w:t>
            </w:r>
          </w:p>
        </w:tc>
        <w:tc>
          <w:tcPr>
            <w:tcW w:w="665" w:type="dxa"/>
            <w:tcBorders>
              <w:top w:val="nil"/>
              <w:left w:val="nil"/>
              <w:bottom w:val="single" w:color="auto" w:sz="4" w:space="0"/>
              <w:right w:val="single" w:color="auto" w:sz="4" w:space="0"/>
            </w:tcBorders>
            <w:shd w:val="clear" w:color="auto" w:fill="auto"/>
            <w:vAlign w:val="center"/>
          </w:tcPr>
          <w:p w14:paraId="2E3777C4">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198BC545">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0E6FA1B1">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17</w:t>
            </w:r>
          </w:p>
        </w:tc>
        <w:tc>
          <w:tcPr>
            <w:tcW w:w="4396" w:type="dxa"/>
            <w:tcBorders>
              <w:top w:val="nil"/>
              <w:left w:val="nil"/>
              <w:bottom w:val="single" w:color="auto" w:sz="4" w:space="0"/>
              <w:right w:val="single" w:color="auto" w:sz="4" w:space="0"/>
            </w:tcBorders>
            <w:shd w:val="clear" w:color="auto" w:fill="auto"/>
            <w:vAlign w:val="center"/>
          </w:tcPr>
          <w:p w14:paraId="6F1B31E2">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基于双寡头模型的国企B2B电商平台二阶段定价研究</w:t>
            </w:r>
          </w:p>
        </w:tc>
        <w:tc>
          <w:tcPr>
            <w:tcW w:w="8930" w:type="dxa"/>
            <w:tcBorders>
              <w:top w:val="nil"/>
              <w:left w:val="nil"/>
              <w:bottom w:val="single" w:color="auto" w:sz="4" w:space="0"/>
              <w:right w:val="single" w:color="auto" w:sz="4" w:space="0"/>
            </w:tcBorders>
            <w:shd w:val="clear" w:color="auto" w:fill="auto"/>
            <w:vAlign w:val="center"/>
          </w:tcPr>
          <w:p w14:paraId="7CAF2E1F">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掌握双寡头相关理论，构建国企</w:t>
            </w:r>
            <w:r>
              <w:rPr>
                <w:rFonts w:ascii="宋体" w:hAnsi="宋体" w:cs="宋体"/>
                <w:color w:val="000000"/>
                <w:kern w:val="0"/>
                <w:sz w:val="18"/>
                <w:szCs w:val="18"/>
              </w:rPr>
              <w:t>B2B</w:t>
            </w:r>
            <w:r>
              <w:rPr>
                <w:rFonts w:hint="eastAsia" w:ascii="宋体" w:hAnsi="宋体" w:cs="宋体"/>
                <w:color w:val="000000"/>
                <w:kern w:val="0"/>
                <w:sz w:val="18"/>
                <w:szCs w:val="18"/>
              </w:rPr>
              <w:t>电商平台二阶段定价模型，对比分析，提出先关建议。</w:t>
            </w:r>
          </w:p>
        </w:tc>
        <w:tc>
          <w:tcPr>
            <w:tcW w:w="665" w:type="dxa"/>
            <w:tcBorders>
              <w:top w:val="nil"/>
              <w:left w:val="nil"/>
              <w:bottom w:val="single" w:color="auto" w:sz="4" w:space="0"/>
              <w:right w:val="single" w:color="auto" w:sz="4" w:space="0"/>
            </w:tcBorders>
            <w:shd w:val="clear" w:color="auto" w:fill="auto"/>
            <w:vAlign w:val="center"/>
          </w:tcPr>
          <w:p w14:paraId="7710D0F0">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19C64F34">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1D323BF2">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18</w:t>
            </w:r>
          </w:p>
        </w:tc>
        <w:tc>
          <w:tcPr>
            <w:tcW w:w="4396" w:type="dxa"/>
            <w:tcBorders>
              <w:top w:val="nil"/>
              <w:left w:val="nil"/>
              <w:bottom w:val="single" w:color="auto" w:sz="4" w:space="0"/>
              <w:right w:val="single" w:color="auto" w:sz="4" w:space="0"/>
            </w:tcBorders>
            <w:shd w:val="clear" w:color="auto" w:fill="auto"/>
            <w:vAlign w:val="center"/>
          </w:tcPr>
          <w:p w14:paraId="28199915">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供应链视角下食品安全风险传导与控制策略研究</w:t>
            </w:r>
          </w:p>
        </w:tc>
        <w:tc>
          <w:tcPr>
            <w:tcW w:w="8930" w:type="dxa"/>
            <w:tcBorders>
              <w:top w:val="nil"/>
              <w:left w:val="nil"/>
              <w:bottom w:val="single" w:color="auto" w:sz="4" w:space="0"/>
              <w:right w:val="single" w:color="auto" w:sz="4" w:space="0"/>
            </w:tcBorders>
            <w:shd w:val="clear" w:color="auto" w:fill="auto"/>
            <w:vAlign w:val="center"/>
          </w:tcPr>
          <w:p w14:paraId="640F4924">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研究食品供应链的安全风险因素，并通过分析得出风险控制策略，提出相关建议。</w:t>
            </w:r>
          </w:p>
        </w:tc>
        <w:tc>
          <w:tcPr>
            <w:tcW w:w="665" w:type="dxa"/>
            <w:tcBorders>
              <w:top w:val="nil"/>
              <w:left w:val="nil"/>
              <w:bottom w:val="single" w:color="auto" w:sz="4" w:space="0"/>
              <w:right w:val="single" w:color="auto" w:sz="4" w:space="0"/>
            </w:tcBorders>
            <w:shd w:val="clear" w:color="auto" w:fill="auto"/>
            <w:vAlign w:val="center"/>
          </w:tcPr>
          <w:p w14:paraId="1D5A34A8">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0727E996">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226877CB">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19</w:t>
            </w:r>
          </w:p>
        </w:tc>
        <w:tc>
          <w:tcPr>
            <w:tcW w:w="4396" w:type="dxa"/>
            <w:tcBorders>
              <w:top w:val="nil"/>
              <w:left w:val="nil"/>
              <w:bottom w:val="single" w:color="auto" w:sz="4" w:space="0"/>
              <w:right w:val="single" w:color="auto" w:sz="4" w:space="0"/>
            </w:tcBorders>
            <w:shd w:val="clear" w:color="auto" w:fill="auto"/>
            <w:vAlign w:val="center"/>
          </w:tcPr>
          <w:p w14:paraId="338CC743">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突发事件关键品类应急物资储备安全管理策略研究</w:t>
            </w:r>
          </w:p>
        </w:tc>
        <w:tc>
          <w:tcPr>
            <w:tcW w:w="8930" w:type="dxa"/>
            <w:tcBorders>
              <w:top w:val="nil"/>
              <w:left w:val="nil"/>
              <w:bottom w:val="single" w:color="auto" w:sz="4" w:space="0"/>
              <w:right w:val="single" w:color="auto" w:sz="4" w:space="0"/>
            </w:tcBorders>
            <w:shd w:val="clear" w:color="auto" w:fill="auto"/>
            <w:vAlign w:val="center"/>
          </w:tcPr>
          <w:p w14:paraId="4E7F6ABB">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研究突发事件下物资储备，识别关键品类，构建储备模型并进行算例分析，提出相关建议。</w:t>
            </w:r>
          </w:p>
        </w:tc>
        <w:tc>
          <w:tcPr>
            <w:tcW w:w="665" w:type="dxa"/>
            <w:tcBorders>
              <w:top w:val="nil"/>
              <w:left w:val="nil"/>
              <w:bottom w:val="single" w:color="auto" w:sz="4" w:space="0"/>
              <w:right w:val="single" w:color="auto" w:sz="4" w:space="0"/>
            </w:tcBorders>
            <w:shd w:val="clear" w:color="auto" w:fill="auto"/>
            <w:vAlign w:val="center"/>
          </w:tcPr>
          <w:p w14:paraId="1737D5FE">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4E082983">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5FDD9FA5">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20</w:t>
            </w:r>
          </w:p>
        </w:tc>
        <w:tc>
          <w:tcPr>
            <w:tcW w:w="4396" w:type="dxa"/>
            <w:tcBorders>
              <w:top w:val="nil"/>
              <w:left w:val="nil"/>
              <w:bottom w:val="single" w:color="auto" w:sz="4" w:space="0"/>
              <w:right w:val="single" w:color="auto" w:sz="4" w:space="0"/>
            </w:tcBorders>
            <w:shd w:val="clear" w:color="auto" w:fill="auto"/>
            <w:vAlign w:val="center"/>
          </w:tcPr>
          <w:p w14:paraId="7B6DA57F">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A物流企业车辆调度信息系统优化研究</w:t>
            </w:r>
          </w:p>
        </w:tc>
        <w:tc>
          <w:tcPr>
            <w:tcW w:w="8930" w:type="dxa"/>
            <w:tcBorders>
              <w:top w:val="nil"/>
              <w:left w:val="nil"/>
              <w:bottom w:val="single" w:color="auto" w:sz="4" w:space="0"/>
              <w:right w:val="single" w:color="auto" w:sz="4" w:space="0"/>
            </w:tcBorders>
            <w:shd w:val="clear" w:color="auto" w:fill="auto"/>
            <w:vAlign w:val="center"/>
          </w:tcPr>
          <w:p w14:paraId="5BA04C2D">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掌握企业车辆调度信息系统现状，分析其问题，对其系统进行优化设计，提出相关建议。</w:t>
            </w:r>
          </w:p>
        </w:tc>
        <w:tc>
          <w:tcPr>
            <w:tcW w:w="665" w:type="dxa"/>
            <w:tcBorders>
              <w:top w:val="nil"/>
              <w:left w:val="nil"/>
              <w:bottom w:val="single" w:color="auto" w:sz="4" w:space="0"/>
              <w:right w:val="single" w:color="auto" w:sz="4" w:space="0"/>
            </w:tcBorders>
            <w:shd w:val="clear" w:color="auto" w:fill="auto"/>
            <w:vAlign w:val="center"/>
          </w:tcPr>
          <w:p w14:paraId="6729C3B2">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6E2FA3F2">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18C77253">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21</w:t>
            </w:r>
          </w:p>
        </w:tc>
        <w:tc>
          <w:tcPr>
            <w:tcW w:w="4396" w:type="dxa"/>
            <w:tcBorders>
              <w:top w:val="nil"/>
              <w:left w:val="nil"/>
              <w:bottom w:val="single" w:color="auto" w:sz="4" w:space="0"/>
              <w:right w:val="single" w:color="auto" w:sz="4" w:space="0"/>
            </w:tcBorders>
            <w:shd w:val="clear" w:color="auto" w:fill="auto"/>
            <w:vAlign w:val="center"/>
          </w:tcPr>
          <w:p w14:paraId="5DE178AE">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北京铁路局黄村货场电商物流中心货源拓展策略研究</w:t>
            </w:r>
          </w:p>
        </w:tc>
        <w:tc>
          <w:tcPr>
            <w:tcW w:w="8930" w:type="dxa"/>
            <w:tcBorders>
              <w:top w:val="nil"/>
              <w:left w:val="nil"/>
              <w:bottom w:val="single" w:color="auto" w:sz="4" w:space="0"/>
              <w:right w:val="single" w:color="auto" w:sz="4" w:space="0"/>
            </w:tcBorders>
            <w:shd w:val="clear" w:color="auto" w:fill="auto"/>
            <w:vAlign w:val="center"/>
          </w:tcPr>
          <w:p w14:paraId="5C44647F">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掌握北京铁路局黄村货场电商物流中心现状，分析其资源拓展方向，提出相关策略建议。</w:t>
            </w:r>
          </w:p>
        </w:tc>
        <w:tc>
          <w:tcPr>
            <w:tcW w:w="665" w:type="dxa"/>
            <w:tcBorders>
              <w:top w:val="nil"/>
              <w:left w:val="nil"/>
              <w:bottom w:val="single" w:color="auto" w:sz="4" w:space="0"/>
              <w:right w:val="single" w:color="auto" w:sz="4" w:space="0"/>
            </w:tcBorders>
            <w:shd w:val="clear" w:color="auto" w:fill="auto"/>
            <w:vAlign w:val="center"/>
          </w:tcPr>
          <w:p w14:paraId="616B66A8">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280E637A">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1F2D9726">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22</w:t>
            </w:r>
          </w:p>
        </w:tc>
        <w:tc>
          <w:tcPr>
            <w:tcW w:w="4396" w:type="dxa"/>
            <w:tcBorders>
              <w:top w:val="nil"/>
              <w:left w:val="nil"/>
              <w:bottom w:val="single" w:color="auto" w:sz="4" w:space="0"/>
              <w:right w:val="single" w:color="auto" w:sz="4" w:space="0"/>
            </w:tcBorders>
            <w:shd w:val="clear" w:color="auto" w:fill="auto"/>
            <w:vAlign w:val="center"/>
          </w:tcPr>
          <w:p w14:paraId="4B5B95BB">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“制造链+平台”模式下的供应链投资契约研究</w:t>
            </w:r>
          </w:p>
        </w:tc>
        <w:tc>
          <w:tcPr>
            <w:tcW w:w="8930" w:type="dxa"/>
            <w:tcBorders>
              <w:top w:val="nil"/>
              <w:left w:val="nil"/>
              <w:bottom w:val="single" w:color="auto" w:sz="4" w:space="0"/>
              <w:right w:val="single" w:color="auto" w:sz="4" w:space="0"/>
            </w:tcBorders>
            <w:shd w:val="clear" w:color="auto" w:fill="auto"/>
            <w:vAlign w:val="center"/>
          </w:tcPr>
          <w:p w14:paraId="7E8A86DD">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探究“制造链+平台”模式特点，对供应链投资契约进行分析设计，得出相关结论。</w:t>
            </w:r>
          </w:p>
        </w:tc>
        <w:tc>
          <w:tcPr>
            <w:tcW w:w="665" w:type="dxa"/>
            <w:tcBorders>
              <w:top w:val="nil"/>
              <w:left w:val="nil"/>
              <w:bottom w:val="single" w:color="auto" w:sz="4" w:space="0"/>
              <w:right w:val="single" w:color="auto" w:sz="4" w:space="0"/>
            </w:tcBorders>
            <w:shd w:val="clear" w:color="auto" w:fill="auto"/>
            <w:vAlign w:val="center"/>
          </w:tcPr>
          <w:p w14:paraId="27C515B5">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258F63F7">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36957B2C">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23</w:t>
            </w:r>
          </w:p>
        </w:tc>
        <w:tc>
          <w:tcPr>
            <w:tcW w:w="4396" w:type="dxa"/>
            <w:tcBorders>
              <w:top w:val="nil"/>
              <w:left w:val="nil"/>
              <w:bottom w:val="single" w:color="auto" w:sz="4" w:space="0"/>
              <w:right w:val="single" w:color="auto" w:sz="4" w:space="0"/>
            </w:tcBorders>
            <w:shd w:val="clear" w:color="auto" w:fill="auto"/>
            <w:vAlign w:val="center"/>
          </w:tcPr>
          <w:p w14:paraId="0CA4B200">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考虑碳减排不确定性的供应链减碳决策研究</w:t>
            </w:r>
          </w:p>
        </w:tc>
        <w:tc>
          <w:tcPr>
            <w:tcW w:w="8930" w:type="dxa"/>
            <w:tcBorders>
              <w:top w:val="nil"/>
              <w:left w:val="nil"/>
              <w:bottom w:val="single" w:color="auto" w:sz="4" w:space="0"/>
              <w:right w:val="single" w:color="auto" w:sz="4" w:space="0"/>
            </w:tcBorders>
            <w:shd w:val="clear" w:color="auto" w:fill="auto"/>
            <w:vAlign w:val="center"/>
          </w:tcPr>
          <w:p w14:paraId="39B88C49">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研究碳减排研发风险和碳交易价格波动风险对于供应链企业的决策影响，建立模型得出相关结论。</w:t>
            </w:r>
          </w:p>
        </w:tc>
        <w:tc>
          <w:tcPr>
            <w:tcW w:w="665" w:type="dxa"/>
            <w:tcBorders>
              <w:top w:val="nil"/>
              <w:left w:val="nil"/>
              <w:bottom w:val="single" w:color="auto" w:sz="4" w:space="0"/>
              <w:right w:val="single" w:color="auto" w:sz="4" w:space="0"/>
            </w:tcBorders>
            <w:shd w:val="clear" w:color="auto" w:fill="auto"/>
            <w:vAlign w:val="center"/>
          </w:tcPr>
          <w:p w14:paraId="3369E798">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16E94237">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10F10726">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24</w:t>
            </w:r>
          </w:p>
        </w:tc>
        <w:tc>
          <w:tcPr>
            <w:tcW w:w="4396" w:type="dxa"/>
            <w:tcBorders>
              <w:top w:val="nil"/>
              <w:left w:val="nil"/>
              <w:bottom w:val="single" w:color="auto" w:sz="4" w:space="0"/>
              <w:right w:val="single" w:color="auto" w:sz="4" w:space="0"/>
            </w:tcBorders>
            <w:shd w:val="clear" w:color="auto" w:fill="auto"/>
            <w:vAlign w:val="center"/>
          </w:tcPr>
          <w:p w14:paraId="561850CB">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车辆电动化背景下中国公路运输碳减排潜力研究</w:t>
            </w:r>
          </w:p>
        </w:tc>
        <w:tc>
          <w:tcPr>
            <w:tcW w:w="8930" w:type="dxa"/>
            <w:tcBorders>
              <w:top w:val="nil"/>
              <w:left w:val="nil"/>
              <w:bottom w:val="single" w:color="auto" w:sz="4" w:space="0"/>
              <w:right w:val="single" w:color="auto" w:sz="4" w:space="0"/>
            </w:tcBorders>
            <w:shd w:val="clear" w:color="auto" w:fill="auto"/>
            <w:vAlign w:val="center"/>
          </w:tcPr>
          <w:p w14:paraId="3F22C737">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掌握车辆电动化对公路运输碳排放的影响，研究公路运输碳排放影响因素并且构建预测模型，对碳减排潜力进行分析，得出相关结论。</w:t>
            </w:r>
          </w:p>
        </w:tc>
        <w:tc>
          <w:tcPr>
            <w:tcW w:w="665" w:type="dxa"/>
            <w:tcBorders>
              <w:top w:val="nil"/>
              <w:left w:val="nil"/>
              <w:bottom w:val="single" w:color="auto" w:sz="4" w:space="0"/>
              <w:right w:val="single" w:color="auto" w:sz="4" w:space="0"/>
            </w:tcBorders>
            <w:shd w:val="clear" w:color="auto" w:fill="auto"/>
            <w:vAlign w:val="center"/>
          </w:tcPr>
          <w:p w14:paraId="70E222A1">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4FA3C88C">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4F1F10D8">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25</w:t>
            </w:r>
          </w:p>
        </w:tc>
        <w:tc>
          <w:tcPr>
            <w:tcW w:w="4396" w:type="dxa"/>
            <w:tcBorders>
              <w:top w:val="nil"/>
              <w:left w:val="nil"/>
              <w:bottom w:val="single" w:color="auto" w:sz="4" w:space="0"/>
              <w:right w:val="single" w:color="auto" w:sz="4" w:space="0"/>
            </w:tcBorders>
            <w:shd w:val="clear" w:color="auto" w:fill="auto"/>
            <w:vAlign w:val="center"/>
          </w:tcPr>
          <w:p w14:paraId="05BD902E">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电动汽车换电站联合选址库存优化研究</w:t>
            </w:r>
          </w:p>
        </w:tc>
        <w:tc>
          <w:tcPr>
            <w:tcW w:w="8930" w:type="dxa"/>
            <w:tcBorders>
              <w:top w:val="nil"/>
              <w:left w:val="nil"/>
              <w:bottom w:val="single" w:color="auto" w:sz="4" w:space="0"/>
              <w:right w:val="single" w:color="auto" w:sz="4" w:space="0"/>
            </w:tcBorders>
            <w:shd w:val="clear" w:color="auto" w:fill="auto"/>
            <w:vAlign w:val="center"/>
          </w:tcPr>
          <w:p w14:paraId="7CB735A7">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研究电动汽车换电站选址以及电池库存优化，建立相关模型，进行仿真模拟，分析研究意义。</w:t>
            </w:r>
          </w:p>
        </w:tc>
        <w:tc>
          <w:tcPr>
            <w:tcW w:w="665" w:type="dxa"/>
            <w:tcBorders>
              <w:top w:val="nil"/>
              <w:left w:val="nil"/>
              <w:bottom w:val="single" w:color="auto" w:sz="4" w:space="0"/>
              <w:right w:val="single" w:color="auto" w:sz="4" w:space="0"/>
            </w:tcBorders>
            <w:shd w:val="clear" w:color="auto" w:fill="auto"/>
            <w:vAlign w:val="center"/>
          </w:tcPr>
          <w:p w14:paraId="165F8AF9">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300F86B5">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5723B278">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26</w:t>
            </w:r>
          </w:p>
        </w:tc>
        <w:tc>
          <w:tcPr>
            <w:tcW w:w="4396" w:type="dxa"/>
            <w:tcBorders>
              <w:top w:val="nil"/>
              <w:left w:val="nil"/>
              <w:bottom w:val="single" w:color="auto" w:sz="4" w:space="0"/>
              <w:right w:val="single" w:color="auto" w:sz="4" w:space="0"/>
            </w:tcBorders>
            <w:shd w:val="clear" w:color="auto" w:fill="auto"/>
            <w:vAlign w:val="center"/>
          </w:tcPr>
          <w:p w14:paraId="65A67D38">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大数据对制造企业运作效率的影响研究</w:t>
            </w:r>
          </w:p>
        </w:tc>
        <w:tc>
          <w:tcPr>
            <w:tcW w:w="8930" w:type="dxa"/>
            <w:tcBorders>
              <w:top w:val="nil"/>
              <w:left w:val="nil"/>
              <w:bottom w:val="single" w:color="auto" w:sz="4" w:space="0"/>
              <w:right w:val="single" w:color="auto" w:sz="4" w:space="0"/>
            </w:tcBorders>
            <w:shd w:val="clear" w:color="auto" w:fill="auto"/>
            <w:vAlign w:val="center"/>
          </w:tcPr>
          <w:p w14:paraId="0CFA3B8C">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掌握大数据的特点，研究其对于制造企业运行效率的影响，收集数据进行相关分析，得出相关结论。</w:t>
            </w:r>
          </w:p>
        </w:tc>
        <w:tc>
          <w:tcPr>
            <w:tcW w:w="665" w:type="dxa"/>
            <w:tcBorders>
              <w:top w:val="nil"/>
              <w:left w:val="nil"/>
              <w:bottom w:val="single" w:color="auto" w:sz="4" w:space="0"/>
              <w:right w:val="single" w:color="auto" w:sz="4" w:space="0"/>
            </w:tcBorders>
            <w:shd w:val="clear" w:color="auto" w:fill="auto"/>
            <w:vAlign w:val="center"/>
          </w:tcPr>
          <w:p w14:paraId="5364E1B1">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3540198D">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0A8DB057">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27</w:t>
            </w:r>
          </w:p>
        </w:tc>
        <w:tc>
          <w:tcPr>
            <w:tcW w:w="4396" w:type="dxa"/>
            <w:tcBorders>
              <w:top w:val="nil"/>
              <w:left w:val="nil"/>
              <w:bottom w:val="single" w:color="auto" w:sz="4" w:space="0"/>
              <w:right w:val="single" w:color="auto" w:sz="4" w:space="0"/>
            </w:tcBorders>
            <w:shd w:val="clear" w:color="auto" w:fill="auto"/>
            <w:vAlign w:val="center"/>
          </w:tcPr>
          <w:p w14:paraId="43EC74AE">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新冠疫情影响下海运集装箱运输价格预测方法研究</w:t>
            </w:r>
          </w:p>
        </w:tc>
        <w:tc>
          <w:tcPr>
            <w:tcW w:w="8930" w:type="dxa"/>
            <w:tcBorders>
              <w:top w:val="nil"/>
              <w:left w:val="nil"/>
              <w:bottom w:val="single" w:color="auto" w:sz="4" w:space="0"/>
              <w:right w:val="single" w:color="auto" w:sz="4" w:space="0"/>
            </w:tcBorders>
            <w:shd w:val="clear" w:color="auto" w:fill="auto"/>
            <w:vAlign w:val="center"/>
          </w:tcPr>
          <w:p w14:paraId="6D03884B">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掌握疫情对于海运集装箱价格的影响因素，构建预测模型，搜集数据进行实证研究，分析问题的研究意义。</w:t>
            </w:r>
          </w:p>
        </w:tc>
        <w:tc>
          <w:tcPr>
            <w:tcW w:w="665" w:type="dxa"/>
            <w:tcBorders>
              <w:top w:val="nil"/>
              <w:left w:val="nil"/>
              <w:bottom w:val="single" w:color="auto" w:sz="4" w:space="0"/>
              <w:right w:val="single" w:color="auto" w:sz="4" w:space="0"/>
            </w:tcBorders>
            <w:shd w:val="clear" w:color="auto" w:fill="auto"/>
            <w:vAlign w:val="center"/>
          </w:tcPr>
          <w:p w14:paraId="564B518D">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5865C83C">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54E013EC">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28</w:t>
            </w:r>
          </w:p>
        </w:tc>
        <w:tc>
          <w:tcPr>
            <w:tcW w:w="4396" w:type="dxa"/>
            <w:tcBorders>
              <w:top w:val="nil"/>
              <w:left w:val="nil"/>
              <w:bottom w:val="single" w:color="auto" w:sz="4" w:space="0"/>
              <w:right w:val="single" w:color="auto" w:sz="4" w:space="0"/>
            </w:tcBorders>
            <w:shd w:val="clear" w:color="auto" w:fill="auto"/>
            <w:vAlign w:val="center"/>
          </w:tcPr>
          <w:p w14:paraId="431D3994">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考虑回收率不确定性的再制造供应链回收决策研究</w:t>
            </w:r>
          </w:p>
        </w:tc>
        <w:tc>
          <w:tcPr>
            <w:tcW w:w="8930" w:type="dxa"/>
            <w:tcBorders>
              <w:top w:val="nil"/>
              <w:left w:val="nil"/>
              <w:bottom w:val="single" w:color="auto" w:sz="4" w:space="0"/>
              <w:right w:val="single" w:color="auto" w:sz="4" w:space="0"/>
            </w:tcBorders>
            <w:shd w:val="clear" w:color="auto" w:fill="auto"/>
            <w:vAlign w:val="center"/>
          </w:tcPr>
          <w:p w14:paraId="2D0C92B5">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研究回收率不确定性对制造商回收和第三方企业回收的影响，分别构建模型，进行算例分析，得出相关结论。</w:t>
            </w:r>
          </w:p>
        </w:tc>
        <w:tc>
          <w:tcPr>
            <w:tcW w:w="665" w:type="dxa"/>
            <w:tcBorders>
              <w:top w:val="nil"/>
              <w:left w:val="nil"/>
              <w:bottom w:val="single" w:color="auto" w:sz="4" w:space="0"/>
              <w:right w:val="single" w:color="auto" w:sz="4" w:space="0"/>
            </w:tcBorders>
            <w:shd w:val="clear" w:color="auto" w:fill="auto"/>
            <w:vAlign w:val="center"/>
          </w:tcPr>
          <w:p w14:paraId="77BDC3EC">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0DABDE7E">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26DC9DE2">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29</w:t>
            </w:r>
          </w:p>
        </w:tc>
        <w:tc>
          <w:tcPr>
            <w:tcW w:w="4396" w:type="dxa"/>
            <w:tcBorders>
              <w:top w:val="nil"/>
              <w:left w:val="nil"/>
              <w:bottom w:val="single" w:color="auto" w:sz="4" w:space="0"/>
              <w:right w:val="single" w:color="auto" w:sz="4" w:space="0"/>
            </w:tcBorders>
            <w:shd w:val="clear" w:color="auto" w:fill="auto"/>
            <w:vAlign w:val="center"/>
          </w:tcPr>
          <w:p w14:paraId="1FD72322">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韵达天津A公司配送路径优化研究</w:t>
            </w:r>
          </w:p>
        </w:tc>
        <w:tc>
          <w:tcPr>
            <w:tcW w:w="8930" w:type="dxa"/>
            <w:tcBorders>
              <w:top w:val="nil"/>
              <w:left w:val="nil"/>
              <w:bottom w:val="single" w:color="auto" w:sz="4" w:space="0"/>
              <w:right w:val="single" w:color="auto" w:sz="4" w:space="0"/>
            </w:tcBorders>
            <w:shd w:val="clear" w:color="auto" w:fill="auto"/>
            <w:vAlign w:val="center"/>
          </w:tcPr>
          <w:p w14:paraId="58274701">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掌握车辆路径优化方法，对韵达天津</w:t>
            </w:r>
            <w:r>
              <w:rPr>
                <w:rFonts w:ascii="宋体" w:hAnsi="宋体" w:cs="宋体"/>
                <w:color w:val="000000"/>
                <w:kern w:val="0"/>
                <w:sz w:val="18"/>
                <w:szCs w:val="18"/>
              </w:rPr>
              <w:t>A</w:t>
            </w:r>
            <w:r>
              <w:rPr>
                <w:rFonts w:hint="eastAsia" w:ascii="宋体" w:hAnsi="宋体" w:cs="宋体"/>
                <w:color w:val="000000"/>
                <w:kern w:val="0"/>
                <w:sz w:val="18"/>
                <w:szCs w:val="18"/>
              </w:rPr>
              <w:t>公司配送路径进行优化。</w:t>
            </w:r>
          </w:p>
        </w:tc>
        <w:tc>
          <w:tcPr>
            <w:tcW w:w="665" w:type="dxa"/>
            <w:tcBorders>
              <w:top w:val="nil"/>
              <w:left w:val="nil"/>
              <w:bottom w:val="single" w:color="auto" w:sz="4" w:space="0"/>
              <w:right w:val="single" w:color="auto" w:sz="4" w:space="0"/>
            </w:tcBorders>
            <w:shd w:val="clear" w:color="auto" w:fill="auto"/>
            <w:vAlign w:val="center"/>
          </w:tcPr>
          <w:p w14:paraId="58D4AE0B">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46FE4FFE">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1DB7BEC1">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30</w:t>
            </w:r>
          </w:p>
        </w:tc>
        <w:tc>
          <w:tcPr>
            <w:tcW w:w="4396" w:type="dxa"/>
            <w:tcBorders>
              <w:top w:val="nil"/>
              <w:left w:val="nil"/>
              <w:bottom w:val="single" w:color="auto" w:sz="4" w:space="0"/>
              <w:right w:val="single" w:color="auto" w:sz="4" w:space="0"/>
            </w:tcBorders>
            <w:shd w:val="clear" w:color="auto" w:fill="auto"/>
            <w:vAlign w:val="center"/>
          </w:tcPr>
          <w:p w14:paraId="43D0F0C7">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带有无人机配送的物流网络优化设计</w:t>
            </w:r>
          </w:p>
        </w:tc>
        <w:tc>
          <w:tcPr>
            <w:tcW w:w="8930" w:type="dxa"/>
            <w:tcBorders>
              <w:top w:val="nil"/>
              <w:left w:val="nil"/>
              <w:bottom w:val="single" w:color="auto" w:sz="4" w:space="0"/>
              <w:right w:val="single" w:color="auto" w:sz="4" w:space="0"/>
            </w:tcBorders>
            <w:shd w:val="clear" w:color="auto" w:fill="auto"/>
            <w:vAlign w:val="center"/>
          </w:tcPr>
          <w:p w14:paraId="337B9547">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掌握无人机应用现状，构建模型研究其对物流网络设计的影响，得出相关结论。</w:t>
            </w:r>
          </w:p>
        </w:tc>
        <w:tc>
          <w:tcPr>
            <w:tcW w:w="665" w:type="dxa"/>
            <w:tcBorders>
              <w:top w:val="nil"/>
              <w:left w:val="nil"/>
              <w:bottom w:val="single" w:color="auto" w:sz="4" w:space="0"/>
              <w:right w:val="single" w:color="auto" w:sz="4" w:space="0"/>
            </w:tcBorders>
            <w:shd w:val="clear" w:color="auto" w:fill="auto"/>
            <w:vAlign w:val="center"/>
          </w:tcPr>
          <w:p w14:paraId="359D36CA">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6F6BD45C">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51E24F92">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31</w:t>
            </w:r>
          </w:p>
        </w:tc>
        <w:tc>
          <w:tcPr>
            <w:tcW w:w="4396" w:type="dxa"/>
            <w:tcBorders>
              <w:top w:val="nil"/>
              <w:left w:val="nil"/>
              <w:bottom w:val="single" w:color="auto" w:sz="4" w:space="0"/>
              <w:right w:val="single" w:color="auto" w:sz="4" w:space="0"/>
            </w:tcBorders>
            <w:shd w:val="clear" w:color="auto" w:fill="auto"/>
            <w:vAlign w:val="center"/>
          </w:tcPr>
          <w:p w14:paraId="6B2A3F0A">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基于推拉结合的制造企业库存控制策略研究</w:t>
            </w:r>
          </w:p>
        </w:tc>
        <w:tc>
          <w:tcPr>
            <w:tcW w:w="8930" w:type="dxa"/>
            <w:tcBorders>
              <w:top w:val="nil"/>
              <w:left w:val="nil"/>
              <w:bottom w:val="single" w:color="auto" w:sz="4" w:space="0"/>
              <w:right w:val="single" w:color="auto" w:sz="4" w:space="0"/>
            </w:tcBorders>
            <w:shd w:val="clear" w:color="auto" w:fill="auto"/>
            <w:vAlign w:val="center"/>
          </w:tcPr>
          <w:p w14:paraId="5989D23E">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掌握推拉结合企业库存管理现状，分析其影响因素，建立库存控制模型，得出相关结论。</w:t>
            </w:r>
          </w:p>
        </w:tc>
        <w:tc>
          <w:tcPr>
            <w:tcW w:w="665" w:type="dxa"/>
            <w:tcBorders>
              <w:top w:val="nil"/>
              <w:left w:val="nil"/>
              <w:bottom w:val="single" w:color="auto" w:sz="4" w:space="0"/>
              <w:right w:val="single" w:color="auto" w:sz="4" w:space="0"/>
            </w:tcBorders>
            <w:shd w:val="clear" w:color="auto" w:fill="auto"/>
            <w:vAlign w:val="center"/>
          </w:tcPr>
          <w:p w14:paraId="733E121F">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4B6A7B63">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490ED502">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32</w:t>
            </w:r>
          </w:p>
        </w:tc>
        <w:tc>
          <w:tcPr>
            <w:tcW w:w="4396" w:type="dxa"/>
            <w:tcBorders>
              <w:top w:val="nil"/>
              <w:left w:val="nil"/>
              <w:bottom w:val="single" w:color="auto" w:sz="4" w:space="0"/>
              <w:right w:val="single" w:color="auto" w:sz="4" w:space="0"/>
            </w:tcBorders>
            <w:shd w:val="clear" w:color="auto" w:fill="auto"/>
            <w:vAlign w:val="center"/>
          </w:tcPr>
          <w:p w14:paraId="5D0843C9">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极端环境及政府应急预案对企业生产绩效的影响</w:t>
            </w:r>
          </w:p>
        </w:tc>
        <w:tc>
          <w:tcPr>
            <w:tcW w:w="8930" w:type="dxa"/>
            <w:tcBorders>
              <w:top w:val="nil"/>
              <w:left w:val="nil"/>
              <w:bottom w:val="single" w:color="auto" w:sz="4" w:space="0"/>
              <w:right w:val="single" w:color="auto" w:sz="4" w:space="0"/>
            </w:tcBorders>
            <w:shd w:val="clear" w:color="auto" w:fill="auto"/>
            <w:vAlign w:val="center"/>
          </w:tcPr>
          <w:p w14:paraId="27C81511">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掌握极端环境与制造企业的关系，研究其对企业生产绩效的影响，收集数据进行分析，得出相关结论。</w:t>
            </w:r>
          </w:p>
        </w:tc>
        <w:tc>
          <w:tcPr>
            <w:tcW w:w="665" w:type="dxa"/>
            <w:tcBorders>
              <w:top w:val="nil"/>
              <w:left w:val="nil"/>
              <w:bottom w:val="single" w:color="auto" w:sz="4" w:space="0"/>
              <w:right w:val="single" w:color="auto" w:sz="4" w:space="0"/>
            </w:tcBorders>
            <w:shd w:val="clear" w:color="auto" w:fill="auto"/>
            <w:vAlign w:val="center"/>
          </w:tcPr>
          <w:p w14:paraId="3F7F8348">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5C07485F">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69CB3FF2">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33</w:t>
            </w:r>
          </w:p>
        </w:tc>
        <w:tc>
          <w:tcPr>
            <w:tcW w:w="4396" w:type="dxa"/>
            <w:tcBorders>
              <w:top w:val="nil"/>
              <w:left w:val="nil"/>
              <w:bottom w:val="single" w:color="auto" w:sz="4" w:space="0"/>
              <w:right w:val="single" w:color="auto" w:sz="4" w:space="0"/>
            </w:tcBorders>
            <w:shd w:val="clear" w:color="auto" w:fill="auto"/>
            <w:vAlign w:val="center"/>
          </w:tcPr>
          <w:p w14:paraId="5A0702A7">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生产性物流园区的集聚整合分析---以A地为例</w:t>
            </w:r>
          </w:p>
        </w:tc>
        <w:tc>
          <w:tcPr>
            <w:tcW w:w="8930" w:type="dxa"/>
            <w:tcBorders>
              <w:top w:val="nil"/>
              <w:left w:val="nil"/>
              <w:bottom w:val="single" w:color="auto" w:sz="4" w:space="0"/>
              <w:right w:val="single" w:color="auto" w:sz="4" w:space="0"/>
            </w:tcBorders>
            <w:shd w:val="clear" w:color="auto" w:fill="auto"/>
            <w:vAlign w:val="center"/>
          </w:tcPr>
          <w:p w14:paraId="28EE6A5B">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掌握生产性物流园区现状，以A地为例研究物流园区的集聚整合，分析其集聚影响因素，给出相关建议</w:t>
            </w:r>
          </w:p>
        </w:tc>
        <w:tc>
          <w:tcPr>
            <w:tcW w:w="665" w:type="dxa"/>
            <w:tcBorders>
              <w:top w:val="nil"/>
              <w:left w:val="nil"/>
              <w:bottom w:val="single" w:color="auto" w:sz="4" w:space="0"/>
              <w:right w:val="single" w:color="auto" w:sz="4" w:space="0"/>
            </w:tcBorders>
            <w:shd w:val="clear" w:color="auto" w:fill="auto"/>
            <w:vAlign w:val="center"/>
          </w:tcPr>
          <w:p w14:paraId="35BBEDE6">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1ACD0921">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177E2232">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34</w:t>
            </w:r>
          </w:p>
        </w:tc>
        <w:tc>
          <w:tcPr>
            <w:tcW w:w="4396" w:type="dxa"/>
            <w:tcBorders>
              <w:top w:val="nil"/>
              <w:left w:val="nil"/>
              <w:bottom w:val="single" w:color="auto" w:sz="4" w:space="0"/>
              <w:right w:val="single" w:color="auto" w:sz="4" w:space="0"/>
            </w:tcBorders>
            <w:shd w:val="clear" w:color="auto" w:fill="auto"/>
            <w:vAlign w:val="center"/>
          </w:tcPr>
          <w:p w14:paraId="46701256">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订阅模式下的定价与库存决策优化</w:t>
            </w:r>
          </w:p>
        </w:tc>
        <w:tc>
          <w:tcPr>
            <w:tcW w:w="8930" w:type="dxa"/>
            <w:tcBorders>
              <w:top w:val="nil"/>
              <w:left w:val="nil"/>
              <w:bottom w:val="single" w:color="auto" w:sz="4" w:space="0"/>
              <w:right w:val="single" w:color="auto" w:sz="4" w:space="0"/>
            </w:tcBorders>
            <w:shd w:val="clear" w:color="auto" w:fill="auto"/>
            <w:vAlign w:val="center"/>
          </w:tcPr>
          <w:p w14:paraId="12B500C7">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掌握订阅模式的现状，构建订阅模式下的产品定价与库存联合决策模型，进行算例分析，得出相关结论</w:t>
            </w:r>
          </w:p>
        </w:tc>
        <w:tc>
          <w:tcPr>
            <w:tcW w:w="665" w:type="dxa"/>
            <w:tcBorders>
              <w:top w:val="nil"/>
              <w:left w:val="nil"/>
              <w:bottom w:val="single" w:color="auto" w:sz="4" w:space="0"/>
              <w:right w:val="single" w:color="auto" w:sz="4" w:space="0"/>
            </w:tcBorders>
            <w:shd w:val="clear" w:color="auto" w:fill="auto"/>
            <w:vAlign w:val="center"/>
          </w:tcPr>
          <w:p w14:paraId="2DD2D100">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4B491807">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1E92DC69">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35</w:t>
            </w:r>
          </w:p>
        </w:tc>
        <w:tc>
          <w:tcPr>
            <w:tcW w:w="4396" w:type="dxa"/>
            <w:tcBorders>
              <w:top w:val="nil"/>
              <w:left w:val="nil"/>
              <w:bottom w:val="single" w:color="auto" w:sz="4" w:space="0"/>
              <w:right w:val="single" w:color="auto" w:sz="4" w:space="0"/>
            </w:tcBorders>
            <w:shd w:val="clear" w:color="auto" w:fill="auto"/>
            <w:vAlign w:val="center"/>
          </w:tcPr>
          <w:p w14:paraId="2E51C5F3">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粤港澳大湾区主要城市物流发展水平研究</w:t>
            </w:r>
          </w:p>
        </w:tc>
        <w:tc>
          <w:tcPr>
            <w:tcW w:w="8930" w:type="dxa"/>
            <w:tcBorders>
              <w:top w:val="nil"/>
              <w:left w:val="nil"/>
              <w:bottom w:val="single" w:color="auto" w:sz="4" w:space="0"/>
              <w:right w:val="single" w:color="auto" w:sz="4" w:space="0"/>
            </w:tcBorders>
            <w:shd w:val="clear" w:color="auto" w:fill="auto"/>
            <w:vAlign w:val="center"/>
          </w:tcPr>
          <w:p w14:paraId="5E6D7B69">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掌握粤港澳大湾区物流发展现状，构建发展评价指标分析其主要城市的制约因素，提出相关发展建议。</w:t>
            </w:r>
          </w:p>
        </w:tc>
        <w:tc>
          <w:tcPr>
            <w:tcW w:w="665" w:type="dxa"/>
            <w:tcBorders>
              <w:top w:val="nil"/>
              <w:left w:val="nil"/>
              <w:bottom w:val="single" w:color="auto" w:sz="4" w:space="0"/>
              <w:right w:val="single" w:color="auto" w:sz="4" w:space="0"/>
            </w:tcBorders>
            <w:shd w:val="clear" w:color="auto" w:fill="auto"/>
            <w:vAlign w:val="center"/>
          </w:tcPr>
          <w:p w14:paraId="75AC46C8">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019AE004">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734E4C14">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36</w:t>
            </w:r>
          </w:p>
        </w:tc>
        <w:tc>
          <w:tcPr>
            <w:tcW w:w="4396" w:type="dxa"/>
            <w:tcBorders>
              <w:top w:val="nil"/>
              <w:left w:val="nil"/>
              <w:bottom w:val="single" w:color="auto" w:sz="4" w:space="0"/>
              <w:right w:val="single" w:color="auto" w:sz="4" w:space="0"/>
            </w:tcBorders>
            <w:shd w:val="clear" w:color="auto" w:fill="auto"/>
            <w:vAlign w:val="center"/>
          </w:tcPr>
          <w:p w14:paraId="4E56EBD9">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某电商平台复购率相关性分析</w:t>
            </w:r>
          </w:p>
        </w:tc>
        <w:tc>
          <w:tcPr>
            <w:tcW w:w="8930" w:type="dxa"/>
            <w:tcBorders>
              <w:top w:val="nil"/>
              <w:left w:val="nil"/>
              <w:bottom w:val="single" w:color="auto" w:sz="4" w:space="0"/>
              <w:right w:val="single" w:color="auto" w:sz="4" w:space="0"/>
            </w:tcBorders>
            <w:shd w:val="clear" w:color="auto" w:fill="auto"/>
            <w:vAlign w:val="center"/>
          </w:tcPr>
          <w:p w14:paraId="29506C9B">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结合某平台发展现状，构建其复购率研究模型，收集数据进行分析，提出相关建议。</w:t>
            </w:r>
          </w:p>
        </w:tc>
        <w:tc>
          <w:tcPr>
            <w:tcW w:w="665" w:type="dxa"/>
            <w:tcBorders>
              <w:top w:val="nil"/>
              <w:left w:val="nil"/>
              <w:bottom w:val="single" w:color="auto" w:sz="4" w:space="0"/>
              <w:right w:val="single" w:color="auto" w:sz="4" w:space="0"/>
            </w:tcBorders>
            <w:shd w:val="clear" w:color="auto" w:fill="auto"/>
            <w:vAlign w:val="center"/>
          </w:tcPr>
          <w:p w14:paraId="6431A2F6">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59EC3335">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7B8A9F8B">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37</w:t>
            </w:r>
          </w:p>
        </w:tc>
        <w:tc>
          <w:tcPr>
            <w:tcW w:w="4396" w:type="dxa"/>
            <w:tcBorders>
              <w:top w:val="nil"/>
              <w:left w:val="nil"/>
              <w:bottom w:val="single" w:color="auto" w:sz="4" w:space="0"/>
              <w:right w:val="single" w:color="auto" w:sz="4" w:space="0"/>
            </w:tcBorders>
            <w:shd w:val="clear" w:color="auto" w:fill="auto"/>
            <w:vAlign w:val="center"/>
          </w:tcPr>
          <w:p w14:paraId="0B9453C6">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电信第三方物流服务企业仓储网络优化</w:t>
            </w:r>
          </w:p>
        </w:tc>
        <w:tc>
          <w:tcPr>
            <w:tcW w:w="8930" w:type="dxa"/>
            <w:tcBorders>
              <w:top w:val="nil"/>
              <w:left w:val="nil"/>
              <w:bottom w:val="single" w:color="auto" w:sz="4" w:space="0"/>
              <w:right w:val="single" w:color="auto" w:sz="4" w:space="0"/>
            </w:tcBorders>
            <w:shd w:val="clear" w:color="auto" w:fill="auto"/>
            <w:vAlign w:val="center"/>
          </w:tcPr>
          <w:p w14:paraId="0BD431E4">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掌握电信第三方物流服务企业仓储网络现状，构建其仓储网络优化模型，进行求解并提出相关建议。</w:t>
            </w:r>
          </w:p>
        </w:tc>
        <w:tc>
          <w:tcPr>
            <w:tcW w:w="665" w:type="dxa"/>
            <w:tcBorders>
              <w:top w:val="nil"/>
              <w:left w:val="nil"/>
              <w:bottom w:val="single" w:color="auto" w:sz="4" w:space="0"/>
              <w:right w:val="single" w:color="auto" w:sz="4" w:space="0"/>
            </w:tcBorders>
            <w:shd w:val="clear" w:color="auto" w:fill="auto"/>
            <w:vAlign w:val="center"/>
          </w:tcPr>
          <w:p w14:paraId="23E80A62">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765CCC7D">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3BDAD346">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38</w:t>
            </w:r>
          </w:p>
        </w:tc>
        <w:tc>
          <w:tcPr>
            <w:tcW w:w="4396" w:type="dxa"/>
            <w:tcBorders>
              <w:top w:val="nil"/>
              <w:left w:val="nil"/>
              <w:bottom w:val="single" w:color="auto" w:sz="4" w:space="0"/>
              <w:right w:val="single" w:color="auto" w:sz="4" w:space="0"/>
            </w:tcBorders>
            <w:shd w:val="clear" w:color="auto" w:fill="auto"/>
            <w:vAlign w:val="center"/>
          </w:tcPr>
          <w:p w14:paraId="51211759">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生产成本不确定下的滴滴采购供应链管理研究</w:t>
            </w:r>
          </w:p>
        </w:tc>
        <w:tc>
          <w:tcPr>
            <w:tcW w:w="8930" w:type="dxa"/>
            <w:tcBorders>
              <w:top w:val="nil"/>
              <w:left w:val="nil"/>
              <w:bottom w:val="single" w:color="auto" w:sz="4" w:space="0"/>
              <w:right w:val="single" w:color="auto" w:sz="4" w:space="0"/>
            </w:tcBorders>
            <w:shd w:val="clear" w:color="auto" w:fill="auto"/>
            <w:vAlign w:val="center"/>
          </w:tcPr>
          <w:p w14:paraId="6B0CEB2F">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研究生产成本不确定对滴滴采购的影响，通过构建模型并求解得到相关结论。</w:t>
            </w:r>
          </w:p>
        </w:tc>
        <w:tc>
          <w:tcPr>
            <w:tcW w:w="665" w:type="dxa"/>
            <w:tcBorders>
              <w:top w:val="nil"/>
              <w:left w:val="nil"/>
              <w:bottom w:val="single" w:color="auto" w:sz="4" w:space="0"/>
              <w:right w:val="single" w:color="auto" w:sz="4" w:space="0"/>
            </w:tcBorders>
            <w:shd w:val="clear" w:color="auto" w:fill="auto"/>
            <w:vAlign w:val="center"/>
          </w:tcPr>
          <w:p w14:paraId="31FE6383">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1F31C678">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333A8A9F">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39</w:t>
            </w:r>
          </w:p>
        </w:tc>
        <w:tc>
          <w:tcPr>
            <w:tcW w:w="4396" w:type="dxa"/>
            <w:tcBorders>
              <w:top w:val="nil"/>
              <w:left w:val="nil"/>
              <w:bottom w:val="single" w:color="auto" w:sz="4" w:space="0"/>
              <w:right w:val="single" w:color="auto" w:sz="4" w:space="0"/>
            </w:tcBorders>
            <w:shd w:val="clear" w:color="auto" w:fill="auto"/>
            <w:vAlign w:val="center"/>
          </w:tcPr>
          <w:p w14:paraId="6B0A53FA">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考虑影响者效应的线上产品信息披露决策研究</w:t>
            </w:r>
          </w:p>
        </w:tc>
        <w:tc>
          <w:tcPr>
            <w:tcW w:w="8930" w:type="dxa"/>
            <w:tcBorders>
              <w:top w:val="nil"/>
              <w:left w:val="nil"/>
              <w:bottom w:val="single" w:color="auto" w:sz="4" w:space="0"/>
              <w:right w:val="single" w:color="auto" w:sz="4" w:space="0"/>
            </w:tcBorders>
            <w:shd w:val="clear" w:color="auto" w:fill="auto"/>
            <w:vAlign w:val="center"/>
          </w:tcPr>
          <w:p w14:paraId="3CBE67FA">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研究影响者线上产品信息披露策略影响，对比分析，得出相关结论。</w:t>
            </w:r>
          </w:p>
        </w:tc>
        <w:tc>
          <w:tcPr>
            <w:tcW w:w="665" w:type="dxa"/>
            <w:tcBorders>
              <w:top w:val="nil"/>
              <w:left w:val="nil"/>
              <w:bottom w:val="single" w:color="auto" w:sz="4" w:space="0"/>
              <w:right w:val="single" w:color="auto" w:sz="4" w:space="0"/>
            </w:tcBorders>
            <w:shd w:val="clear" w:color="auto" w:fill="auto"/>
            <w:vAlign w:val="center"/>
          </w:tcPr>
          <w:p w14:paraId="49580FA2">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37C4F5F2">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6C0D4103">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40</w:t>
            </w:r>
          </w:p>
        </w:tc>
        <w:tc>
          <w:tcPr>
            <w:tcW w:w="4396" w:type="dxa"/>
            <w:tcBorders>
              <w:top w:val="nil"/>
              <w:left w:val="nil"/>
              <w:bottom w:val="single" w:color="auto" w:sz="4" w:space="0"/>
              <w:right w:val="single" w:color="auto" w:sz="4" w:space="0"/>
            </w:tcBorders>
            <w:shd w:val="clear" w:color="auto" w:fill="auto"/>
            <w:vAlign w:val="center"/>
          </w:tcPr>
          <w:p w14:paraId="05E33095">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供应链韧性评价指标体系设计：以轨道交通装备制造业为例</w:t>
            </w:r>
          </w:p>
        </w:tc>
        <w:tc>
          <w:tcPr>
            <w:tcW w:w="8930" w:type="dxa"/>
            <w:tcBorders>
              <w:top w:val="nil"/>
              <w:left w:val="nil"/>
              <w:bottom w:val="single" w:color="auto" w:sz="4" w:space="0"/>
              <w:right w:val="single" w:color="auto" w:sz="4" w:space="0"/>
            </w:tcBorders>
            <w:shd w:val="clear" w:color="auto" w:fill="auto"/>
            <w:vAlign w:val="center"/>
          </w:tcPr>
          <w:p w14:paraId="6F32833D">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构建基本供应链韧性评价指标体系，进行实证研究，调整体系并得出相关结论。</w:t>
            </w:r>
          </w:p>
        </w:tc>
        <w:tc>
          <w:tcPr>
            <w:tcW w:w="665" w:type="dxa"/>
            <w:tcBorders>
              <w:top w:val="nil"/>
              <w:left w:val="nil"/>
              <w:bottom w:val="single" w:color="auto" w:sz="4" w:space="0"/>
              <w:right w:val="single" w:color="auto" w:sz="4" w:space="0"/>
            </w:tcBorders>
            <w:shd w:val="clear" w:color="auto" w:fill="auto"/>
            <w:vAlign w:val="center"/>
          </w:tcPr>
          <w:p w14:paraId="6D660BFD">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3C12956E">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607DE5AA">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41</w:t>
            </w:r>
          </w:p>
        </w:tc>
        <w:tc>
          <w:tcPr>
            <w:tcW w:w="4396" w:type="dxa"/>
            <w:tcBorders>
              <w:top w:val="nil"/>
              <w:left w:val="nil"/>
              <w:bottom w:val="single" w:color="auto" w:sz="4" w:space="0"/>
              <w:right w:val="single" w:color="auto" w:sz="4" w:space="0"/>
            </w:tcBorders>
            <w:shd w:val="clear" w:color="auto" w:fill="auto"/>
            <w:vAlign w:val="center"/>
          </w:tcPr>
          <w:p w14:paraId="5527EB4D">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碳达峰视角下中国交通运输业碳排放预测研究</w:t>
            </w:r>
          </w:p>
        </w:tc>
        <w:tc>
          <w:tcPr>
            <w:tcW w:w="8930" w:type="dxa"/>
            <w:tcBorders>
              <w:top w:val="nil"/>
              <w:left w:val="nil"/>
              <w:bottom w:val="single" w:color="auto" w:sz="4" w:space="0"/>
              <w:right w:val="single" w:color="auto" w:sz="4" w:space="0"/>
            </w:tcBorders>
            <w:shd w:val="clear" w:color="auto" w:fill="auto"/>
            <w:vAlign w:val="center"/>
          </w:tcPr>
          <w:p w14:paraId="1CF3BC4F">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结合历史数据分析碳排放影响因素，构建预测模型并预测碳达峰时间，提出相关建议。</w:t>
            </w:r>
          </w:p>
        </w:tc>
        <w:tc>
          <w:tcPr>
            <w:tcW w:w="665" w:type="dxa"/>
            <w:tcBorders>
              <w:top w:val="nil"/>
              <w:left w:val="nil"/>
              <w:bottom w:val="single" w:color="auto" w:sz="4" w:space="0"/>
              <w:right w:val="single" w:color="auto" w:sz="4" w:space="0"/>
            </w:tcBorders>
            <w:shd w:val="clear" w:color="auto" w:fill="auto"/>
            <w:vAlign w:val="center"/>
          </w:tcPr>
          <w:p w14:paraId="3C241E06">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03F82091">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46198503">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42</w:t>
            </w:r>
          </w:p>
        </w:tc>
        <w:tc>
          <w:tcPr>
            <w:tcW w:w="4396" w:type="dxa"/>
            <w:tcBorders>
              <w:top w:val="nil"/>
              <w:left w:val="nil"/>
              <w:bottom w:val="single" w:color="auto" w:sz="4" w:space="0"/>
              <w:right w:val="single" w:color="auto" w:sz="4" w:space="0"/>
            </w:tcBorders>
            <w:shd w:val="clear" w:color="auto" w:fill="auto"/>
            <w:vAlign w:val="center"/>
          </w:tcPr>
          <w:p w14:paraId="173BD8B4">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带有3D打印的备件库存管理优化</w:t>
            </w:r>
          </w:p>
        </w:tc>
        <w:tc>
          <w:tcPr>
            <w:tcW w:w="8930" w:type="dxa"/>
            <w:tcBorders>
              <w:top w:val="nil"/>
              <w:left w:val="nil"/>
              <w:bottom w:val="single" w:color="auto" w:sz="4" w:space="0"/>
              <w:right w:val="single" w:color="auto" w:sz="4" w:space="0"/>
            </w:tcBorders>
            <w:shd w:val="clear" w:color="auto" w:fill="auto"/>
            <w:vAlign w:val="center"/>
          </w:tcPr>
          <w:p w14:paraId="319AD25C">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掌握</w:t>
            </w:r>
            <w:r>
              <w:rPr>
                <w:rFonts w:ascii="宋体" w:hAnsi="宋体" w:cs="宋体"/>
                <w:color w:val="000000"/>
                <w:kern w:val="0"/>
                <w:sz w:val="18"/>
                <w:szCs w:val="18"/>
              </w:rPr>
              <w:t>3D</w:t>
            </w:r>
            <w:r>
              <w:rPr>
                <w:rFonts w:hint="eastAsia" w:ascii="宋体" w:hAnsi="宋体" w:cs="宋体"/>
                <w:color w:val="000000"/>
                <w:kern w:val="0"/>
                <w:sz w:val="18"/>
                <w:szCs w:val="18"/>
              </w:rPr>
              <w:t>打印技术相关理论，基于此构建备件库存模型并进行分析，提出相关建议。</w:t>
            </w:r>
          </w:p>
        </w:tc>
        <w:tc>
          <w:tcPr>
            <w:tcW w:w="665" w:type="dxa"/>
            <w:tcBorders>
              <w:top w:val="nil"/>
              <w:left w:val="nil"/>
              <w:bottom w:val="single" w:color="auto" w:sz="4" w:space="0"/>
              <w:right w:val="single" w:color="auto" w:sz="4" w:space="0"/>
            </w:tcBorders>
            <w:shd w:val="clear" w:color="auto" w:fill="auto"/>
            <w:vAlign w:val="center"/>
          </w:tcPr>
          <w:p w14:paraId="2A8C42DA">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430437A2">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2429C36B">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43</w:t>
            </w:r>
          </w:p>
        </w:tc>
        <w:tc>
          <w:tcPr>
            <w:tcW w:w="4396" w:type="dxa"/>
            <w:tcBorders>
              <w:top w:val="nil"/>
              <w:left w:val="nil"/>
              <w:bottom w:val="single" w:color="auto" w:sz="4" w:space="0"/>
              <w:right w:val="single" w:color="auto" w:sz="4" w:space="0"/>
            </w:tcBorders>
            <w:shd w:val="clear" w:color="auto" w:fill="auto"/>
            <w:vAlign w:val="center"/>
          </w:tcPr>
          <w:p w14:paraId="25959C94">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物流园区项目后评价指标体系构建——以武汉XD综合物流园区为例</w:t>
            </w:r>
          </w:p>
        </w:tc>
        <w:tc>
          <w:tcPr>
            <w:tcW w:w="8930" w:type="dxa"/>
            <w:tcBorders>
              <w:top w:val="nil"/>
              <w:left w:val="nil"/>
              <w:bottom w:val="single" w:color="auto" w:sz="4" w:space="0"/>
              <w:right w:val="single" w:color="auto" w:sz="4" w:space="0"/>
            </w:tcBorders>
            <w:shd w:val="clear" w:color="auto" w:fill="auto"/>
            <w:vAlign w:val="center"/>
          </w:tcPr>
          <w:p w14:paraId="3217AAE1">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构建物流园区项目后评价指标体系，基于武汉XD综合物流园区的数据进行实证研究，得出相关结论。</w:t>
            </w:r>
          </w:p>
        </w:tc>
        <w:tc>
          <w:tcPr>
            <w:tcW w:w="665" w:type="dxa"/>
            <w:tcBorders>
              <w:top w:val="nil"/>
              <w:left w:val="nil"/>
              <w:bottom w:val="single" w:color="auto" w:sz="4" w:space="0"/>
              <w:right w:val="single" w:color="auto" w:sz="4" w:space="0"/>
            </w:tcBorders>
            <w:shd w:val="clear" w:color="auto" w:fill="auto"/>
            <w:vAlign w:val="center"/>
          </w:tcPr>
          <w:p w14:paraId="36F78283">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4C86592F">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3DCA2E7F">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44</w:t>
            </w:r>
          </w:p>
        </w:tc>
        <w:tc>
          <w:tcPr>
            <w:tcW w:w="4396" w:type="dxa"/>
            <w:tcBorders>
              <w:top w:val="nil"/>
              <w:left w:val="nil"/>
              <w:bottom w:val="single" w:color="auto" w:sz="4" w:space="0"/>
              <w:right w:val="single" w:color="auto" w:sz="4" w:space="0"/>
            </w:tcBorders>
            <w:shd w:val="clear" w:color="auto" w:fill="auto"/>
            <w:vAlign w:val="center"/>
          </w:tcPr>
          <w:p w14:paraId="6BB309FB">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某电商平台牙膏类商品的复购率预测研究</w:t>
            </w:r>
          </w:p>
        </w:tc>
        <w:tc>
          <w:tcPr>
            <w:tcW w:w="8930" w:type="dxa"/>
            <w:tcBorders>
              <w:top w:val="nil"/>
              <w:left w:val="nil"/>
              <w:bottom w:val="single" w:color="auto" w:sz="4" w:space="0"/>
              <w:right w:val="single" w:color="auto" w:sz="4" w:space="0"/>
            </w:tcBorders>
            <w:shd w:val="clear" w:color="auto" w:fill="auto"/>
            <w:vAlign w:val="center"/>
          </w:tcPr>
          <w:p w14:paraId="7A16A290">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研究商品复购率的影响因素，以某平台牙膏为例进行实证研究，得出相关结论，给出建议。</w:t>
            </w:r>
          </w:p>
        </w:tc>
        <w:tc>
          <w:tcPr>
            <w:tcW w:w="665" w:type="dxa"/>
            <w:tcBorders>
              <w:top w:val="nil"/>
              <w:left w:val="nil"/>
              <w:bottom w:val="single" w:color="auto" w:sz="4" w:space="0"/>
              <w:right w:val="single" w:color="auto" w:sz="4" w:space="0"/>
            </w:tcBorders>
            <w:shd w:val="clear" w:color="auto" w:fill="auto"/>
            <w:vAlign w:val="center"/>
          </w:tcPr>
          <w:p w14:paraId="4A53D73C">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16813C59">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0DB78EFF">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45</w:t>
            </w:r>
          </w:p>
        </w:tc>
        <w:tc>
          <w:tcPr>
            <w:tcW w:w="4396" w:type="dxa"/>
            <w:tcBorders>
              <w:top w:val="nil"/>
              <w:left w:val="nil"/>
              <w:bottom w:val="single" w:color="auto" w:sz="4" w:space="0"/>
              <w:right w:val="single" w:color="auto" w:sz="4" w:space="0"/>
            </w:tcBorders>
            <w:shd w:val="clear" w:color="auto" w:fill="auto"/>
            <w:vAlign w:val="center"/>
          </w:tcPr>
          <w:p w14:paraId="1FE0FD22">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M企业物流风险管理研究</w:t>
            </w:r>
          </w:p>
        </w:tc>
        <w:tc>
          <w:tcPr>
            <w:tcW w:w="8930" w:type="dxa"/>
            <w:tcBorders>
              <w:top w:val="nil"/>
              <w:left w:val="nil"/>
              <w:bottom w:val="single" w:color="auto" w:sz="4" w:space="0"/>
              <w:right w:val="single" w:color="auto" w:sz="4" w:space="0"/>
            </w:tcBorders>
            <w:shd w:val="clear" w:color="auto" w:fill="auto"/>
            <w:vAlign w:val="center"/>
          </w:tcPr>
          <w:p w14:paraId="003A052D">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掌握</w:t>
            </w:r>
            <w:r>
              <w:rPr>
                <w:rFonts w:ascii="宋体" w:hAnsi="宋体" w:cs="宋体"/>
                <w:color w:val="000000"/>
                <w:kern w:val="0"/>
                <w:sz w:val="18"/>
                <w:szCs w:val="18"/>
              </w:rPr>
              <w:t>M</w:t>
            </w:r>
            <w:r>
              <w:rPr>
                <w:rFonts w:hint="eastAsia" w:ascii="宋体" w:hAnsi="宋体" w:cs="宋体"/>
                <w:color w:val="000000"/>
                <w:kern w:val="0"/>
                <w:sz w:val="18"/>
                <w:szCs w:val="18"/>
              </w:rPr>
              <w:t>企业物流风险相关情况，对其风险产生机理和影响因素进行研究，提出相关建议。</w:t>
            </w:r>
          </w:p>
        </w:tc>
        <w:tc>
          <w:tcPr>
            <w:tcW w:w="665" w:type="dxa"/>
            <w:tcBorders>
              <w:top w:val="nil"/>
              <w:left w:val="nil"/>
              <w:bottom w:val="single" w:color="auto" w:sz="4" w:space="0"/>
              <w:right w:val="single" w:color="auto" w:sz="4" w:space="0"/>
            </w:tcBorders>
            <w:shd w:val="clear" w:color="auto" w:fill="auto"/>
            <w:vAlign w:val="center"/>
          </w:tcPr>
          <w:p w14:paraId="75AB2DBD">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4597574C">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1B1E3220">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46</w:t>
            </w:r>
          </w:p>
        </w:tc>
        <w:tc>
          <w:tcPr>
            <w:tcW w:w="4396" w:type="dxa"/>
            <w:tcBorders>
              <w:top w:val="nil"/>
              <w:left w:val="nil"/>
              <w:bottom w:val="single" w:color="auto" w:sz="4" w:space="0"/>
              <w:right w:val="single" w:color="auto" w:sz="4" w:space="0"/>
            </w:tcBorders>
            <w:shd w:val="clear" w:color="auto" w:fill="auto"/>
            <w:vAlign w:val="center"/>
          </w:tcPr>
          <w:p w14:paraId="37687A7A">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考虑技术研发不确定性的装配式建筑供应链绿色决策研究</w:t>
            </w:r>
          </w:p>
        </w:tc>
        <w:tc>
          <w:tcPr>
            <w:tcW w:w="8930" w:type="dxa"/>
            <w:tcBorders>
              <w:top w:val="nil"/>
              <w:left w:val="nil"/>
              <w:bottom w:val="single" w:color="auto" w:sz="4" w:space="0"/>
              <w:right w:val="single" w:color="auto" w:sz="4" w:space="0"/>
            </w:tcBorders>
            <w:shd w:val="clear" w:color="auto" w:fill="auto"/>
            <w:vAlign w:val="center"/>
          </w:tcPr>
          <w:p w14:paraId="1D95F9C6">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研究</w:t>
            </w:r>
            <w:r>
              <w:rPr>
                <w:rFonts w:ascii="宋体" w:hAnsi="宋体" w:cs="宋体"/>
                <w:color w:val="000000"/>
                <w:kern w:val="0"/>
                <w:sz w:val="18"/>
                <w:szCs w:val="18"/>
              </w:rPr>
              <w:t>供应商进行绿色技术或产品的</w:t>
            </w:r>
            <w:r>
              <w:rPr>
                <w:rFonts w:hint="eastAsia" w:ascii="宋体" w:hAnsi="宋体" w:cs="宋体"/>
                <w:color w:val="000000"/>
                <w:kern w:val="0"/>
                <w:sz w:val="18"/>
                <w:szCs w:val="18"/>
              </w:rPr>
              <w:t>研发</w:t>
            </w:r>
            <w:r>
              <w:rPr>
                <w:rFonts w:ascii="宋体" w:hAnsi="宋体" w:cs="宋体"/>
                <w:color w:val="000000"/>
                <w:kern w:val="0"/>
                <w:sz w:val="18"/>
                <w:szCs w:val="18"/>
              </w:rPr>
              <w:t>将会如何影响装配式建筑供应链</w:t>
            </w:r>
            <w:r>
              <w:rPr>
                <w:rFonts w:hint="eastAsia" w:ascii="宋体" w:hAnsi="宋体" w:cs="宋体"/>
                <w:color w:val="000000"/>
                <w:kern w:val="0"/>
                <w:sz w:val="18"/>
                <w:szCs w:val="18"/>
              </w:rPr>
              <w:t>，分析其中的相关关系，得出相关结论</w:t>
            </w:r>
          </w:p>
        </w:tc>
        <w:tc>
          <w:tcPr>
            <w:tcW w:w="665" w:type="dxa"/>
            <w:tcBorders>
              <w:top w:val="nil"/>
              <w:left w:val="nil"/>
              <w:bottom w:val="single" w:color="auto" w:sz="4" w:space="0"/>
              <w:right w:val="single" w:color="auto" w:sz="4" w:space="0"/>
            </w:tcBorders>
            <w:shd w:val="clear" w:color="auto" w:fill="auto"/>
            <w:vAlign w:val="center"/>
          </w:tcPr>
          <w:p w14:paraId="1524100D">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40BF6CD4">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42F9D1F1">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47</w:t>
            </w:r>
          </w:p>
        </w:tc>
        <w:tc>
          <w:tcPr>
            <w:tcW w:w="4396" w:type="dxa"/>
            <w:tcBorders>
              <w:top w:val="nil"/>
              <w:left w:val="nil"/>
              <w:bottom w:val="single" w:color="auto" w:sz="4" w:space="0"/>
              <w:right w:val="single" w:color="auto" w:sz="4" w:space="0"/>
            </w:tcBorders>
            <w:shd w:val="clear" w:color="auto" w:fill="auto"/>
            <w:vAlign w:val="center"/>
          </w:tcPr>
          <w:p w14:paraId="4C66D8E7">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重大突发事件下北京市应急物资配送路径优化问题研究</w:t>
            </w:r>
          </w:p>
        </w:tc>
        <w:tc>
          <w:tcPr>
            <w:tcW w:w="8930" w:type="dxa"/>
            <w:tcBorders>
              <w:top w:val="nil"/>
              <w:left w:val="nil"/>
              <w:bottom w:val="single" w:color="auto" w:sz="4" w:space="0"/>
              <w:right w:val="single" w:color="auto" w:sz="4" w:space="0"/>
            </w:tcBorders>
            <w:shd w:val="clear" w:color="auto" w:fill="auto"/>
            <w:vAlign w:val="center"/>
          </w:tcPr>
          <w:p w14:paraId="207E6EA7">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掌握应急物流现状，构建应急物流路径优化模型，收集数据进行实证研究，分析问题的研究意义。</w:t>
            </w:r>
          </w:p>
        </w:tc>
        <w:tc>
          <w:tcPr>
            <w:tcW w:w="665" w:type="dxa"/>
            <w:tcBorders>
              <w:top w:val="nil"/>
              <w:left w:val="nil"/>
              <w:bottom w:val="single" w:color="auto" w:sz="4" w:space="0"/>
              <w:right w:val="single" w:color="auto" w:sz="4" w:space="0"/>
            </w:tcBorders>
            <w:shd w:val="clear" w:color="auto" w:fill="auto"/>
            <w:vAlign w:val="center"/>
          </w:tcPr>
          <w:p w14:paraId="42C3B007">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4F275B9B">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1473C609">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48</w:t>
            </w:r>
          </w:p>
        </w:tc>
        <w:tc>
          <w:tcPr>
            <w:tcW w:w="4396" w:type="dxa"/>
            <w:tcBorders>
              <w:top w:val="nil"/>
              <w:left w:val="nil"/>
              <w:bottom w:val="single" w:color="auto" w:sz="4" w:space="0"/>
              <w:right w:val="single" w:color="auto" w:sz="4" w:space="0"/>
            </w:tcBorders>
            <w:shd w:val="clear" w:color="auto" w:fill="auto"/>
            <w:vAlign w:val="center"/>
          </w:tcPr>
          <w:p w14:paraId="57062EE0">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某生鲜电商合作模式自提点选址研究</w:t>
            </w:r>
          </w:p>
        </w:tc>
        <w:tc>
          <w:tcPr>
            <w:tcW w:w="8930" w:type="dxa"/>
            <w:tcBorders>
              <w:top w:val="nil"/>
              <w:left w:val="nil"/>
              <w:bottom w:val="single" w:color="auto" w:sz="4" w:space="0"/>
              <w:right w:val="single" w:color="auto" w:sz="4" w:space="0"/>
            </w:tcBorders>
            <w:shd w:val="clear" w:color="auto" w:fill="auto"/>
            <w:vAlign w:val="center"/>
          </w:tcPr>
          <w:p w14:paraId="37223B10">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结合某生鲜电商特点提出新的自提点合作模式，构建其选址模型并进行算例分析，得出相关结论。</w:t>
            </w:r>
          </w:p>
        </w:tc>
        <w:tc>
          <w:tcPr>
            <w:tcW w:w="665" w:type="dxa"/>
            <w:tcBorders>
              <w:top w:val="nil"/>
              <w:left w:val="nil"/>
              <w:bottom w:val="single" w:color="auto" w:sz="4" w:space="0"/>
              <w:right w:val="single" w:color="auto" w:sz="4" w:space="0"/>
            </w:tcBorders>
            <w:shd w:val="clear" w:color="auto" w:fill="auto"/>
            <w:vAlign w:val="center"/>
          </w:tcPr>
          <w:p w14:paraId="2BD2B54D">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4D7CEF41">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09CF69C1">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49</w:t>
            </w:r>
          </w:p>
        </w:tc>
        <w:tc>
          <w:tcPr>
            <w:tcW w:w="4396" w:type="dxa"/>
            <w:tcBorders>
              <w:top w:val="nil"/>
              <w:left w:val="nil"/>
              <w:bottom w:val="single" w:color="auto" w:sz="4" w:space="0"/>
              <w:right w:val="single" w:color="auto" w:sz="4" w:space="0"/>
            </w:tcBorders>
            <w:shd w:val="clear" w:color="auto" w:fill="auto"/>
            <w:vAlign w:val="center"/>
          </w:tcPr>
          <w:p w14:paraId="64795A12">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城市共同配送网点布局与路径优化</w:t>
            </w:r>
          </w:p>
        </w:tc>
        <w:tc>
          <w:tcPr>
            <w:tcW w:w="8930" w:type="dxa"/>
            <w:tcBorders>
              <w:top w:val="nil"/>
              <w:left w:val="nil"/>
              <w:bottom w:val="single" w:color="auto" w:sz="4" w:space="0"/>
              <w:right w:val="single" w:color="auto" w:sz="4" w:space="0"/>
            </w:tcBorders>
            <w:shd w:val="clear" w:color="auto" w:fill="auto"/>
            <w:vAlign w:val="center"/>
          </w:tcPr>
          <w:p w14:paraId="1D259811">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掌握共同配送的特点，构建网点布局和路径优化模型，进行算例分析得出相关结论。</w:t>
            </w:r>
          </w:p>
        </w:tc>
        <w:tc>
          <w:tcPr>
            <w:tcW w:w="665" w:type="dxa"/>
            <w:tcBorders>
              <w:top w:val="nil"/>
              <w:left w:val="nil"/>
              <w:bottom w:val="single" w:color="auto" w:sz="4" w:space="0"/>
              <w:right w:val="single" w:color="auto" w:sz="4" w:space="0"/>
            </w:tcBorders>
            <w:shd w:val="clear" w:color="auto" w:fill="auto"/>
            <w:vAlign w:val="center"/>
          </w:tcPr>
          <w:p w14:paraId="67034770">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r w14:paraId="4F3BE00D">
        <w:tblPrEx>
          <w:tblCellMar>
            <w:top w:w="0" w:type="dxa"/>
            <w:left w:w="108" w:type="dxa"/>
            <w:bottom w:w="0" w:type="dxa"/>
            <w:right w:w="108" w:type="dxa"/>
          </w:tblCellMar>
        </w:tblPrEx>
        <w:trPr>
          <w:trHeight w:val="20" w:hRule="atLeas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07AEF2BF">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50</w:t>
            </w:r>
          </w:p>
        </w:tc>
        <w:tc>
          <w:tcPr>
            <w:tcW w:w="4396" w:type="dxa"/>
            <w:tcBorders>
              <w:top w:val="nil"/>
              <w:left w:val="nil"/>
              <w:bottom w:val="single" w:color="auto" w:sz="4" w:space="0"/>
              <w:right w:val="single" w:color="auto" w:sz="4" w:space="0"/>
            </w:tcBorders>
            <w:shd w:val="clear" w:color="auto" w:fill="auto"/>
            <w:vAlign w:val="center"/>
          </w:tcPr>
          <w:p w14:paraId="68267902">
            <w:pPr>
              <w:tabs>
                <w:tab w:val="left" w:pos="0"/>
              </w:tabs>
              <w:spacing w:line="360" w:lineRule="auto"/>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某企业食品冷链城市配送路径优化研究</w:t>
            </w:r>
          </w:p>
        </w:tc>
        <w:tc>
          <w:tcPr>
            <w:tcW w:w="8930" w:type="dxa"/>
            <w:tcBorders>
              <w:top w:val="nil"/>
              <w:left w:val="nil"/>
              <w:bottom w:val="single" w:color="auto" w:sz="4" w:space="0"/>
              <w:right w:val="single" w:color="auto" w:sz="4" w:space="0"/>
            </w:tcBorders>
            <w:shd w:val="clear" w:color="auto" w:fill="auto"/>
            <w:vAlign w:val="center"/>
          </w:tcPr>
          <w:p w14:paraId="48610823">
            <w:pPr>
              <w:tabs>
                <w:tab w:val="left" w:pos="0"/>
              </w:tabs>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结合某企业食品的特点，构建城市冷链配送路径优化模型，为企业发展提出相关建议。</w:t>
            </w:r>
          </w:p>
        </w:tc>
        <w:tc>
          <w:tcPr>
            <w:tcW w:w="665" w:type="dxa"/>
            <w:tcBorders>
              <w:top w:val="nil"/>
              <w:left w:val="nil"/>
              <w:bottom w:val="single" w:color="auto" w:sz="4" w:space="0"/>
              <w:right w:val="single" w:color="auto" w:sz="4" w:space="0"/>
            </w:tcBorders>
            <w:shd w:val="clear" w:color="auto" w:fill="auto"/>
            <w:vAlign w:val="center"/>
          </w:tcPr>
          <w:p w14:paraId="3C00EA79">
            <w:pPr>
              <w:tabs>
                <w:tab w:val="left" w:pos="0"/>
              </w:tabs>
              <w:spacing w:line="360" w:lineRule="auto"/>
              <w:jc w:val="left"/>
              <w:rPr>
                <w:rFonts w:ascii="宋体" w:hAnsi="宋体" w:cs="宋体"/>
                <w:color w:val="000000"/>
                <w:kern w:val="0"/>
                <w:sz w:val="18"/>
                <w:szCs w:val="18"/>
              </w:rPr>
            </w:pPr>
            <w:r>
              <w:rPr>
                <w:rFonts w:ascii="宋体" w:hAnsi="宋体" w:cs="宋体"/>
                <w:color w:val="000000"/>
                <w:kern w:val="0"/>
                <w:sz w:val="18"/>
                <w:szCs w:val="18"/>
              </w:rPr>
              <w:t>　</w:t>
            </w:r>
          </w:p>
        </w:tc>
      </w:tr>
    </w:tbl>
    <w:p w14:paraId="11CA6C4A"/>
    <w:p w14:paraId="75B70D76">
      <w:pPr>
        <w:spacing w:line="360" w:lineRule="auto"/>
        <w:ind w:firstLine="452" w:firstLineChars="150"/>
        <w:jc w:val="center"/>
        <w:rPr>
          <w:rFonts w:ascii="宋体"/>
          <w:b/>
          <w:sz w:val="30"/>
          <w:szCs w:val="30"/>
        </w:rPr>
      </w:pPr>
    </w:p>
    <w:sectPr>
      <w:pgSz w:w="16838" w:h="11906" w:orient="landscape"/>
      <w:pgMar w:top="1361" w:right="1440" w:bottom="1361" w:left="1134"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2FE577">
    <w:pPr>
      <w:pStyle w:val="6"/>
      <w:jc w:val="center"/>
    </w:pPr>
    <w:r>
      <w:fldChar w:fldCharType="begin"/>
    </w:r>
    <w:r>
      <w:instrText xml:space="preserve"> PAGE   \* MERGEFORMAT </w:instrText>
    </w:r>
    <w:r>
      <w:fldChar w:fldCharType="separate"/>
    </w:r>
    <w:r>
      <w:rPr>
        <w:lang w:val="zh-CN"/>
      </w:rPr>
      <w:t>4</w:t>
    </w:r>
    <w:r>
      <w:fldChar w:fldCharType="end"/>
    </w:r>
  </w:p>
  <w:p w14:paraId="699DE7C8">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9DFF3D">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U0MmM2MWQ0NTg1MWI2NTMxMWI5ZWQyYjJmMzExZjcifQ=="/>
  </w:docVars>
  <w:rsids>
    <w:rsidRoot w:val="00450E64"/>
    <w:rsid w:val="00006037"/>
    <w:rsid w:val="000076DB"/>
    <w:rsid w:val="000079C0"/>
    <w:rsid w:val="00020BD9"/>
    <w:rsid w:val="000234E2"/>
    <w:rsid w:val="00051A98"/>
    <w:rsid w:val="00057F35"/>
    <w:rsid w:val="00063C66"/>
    <w:rsid w:val="00076C08"/>
    <w:rsid w:val="00080154"/>
    <w:rsid w:val="00090E7E"/>
    <w:rsid w:val="00090F04"/>
    <w:rsid w:val="000965BF"/>
    <w:rsid w:val="000A1C41"/>
    <w:rsid w:val="000A7DD3"/>
    <w:rsid w:val="000B345A"/>
    <w:rsid w:val="000B7663"/>
    <w:rsid w:val="000C59C7"/>
    <w:rsid w:val="000D467E"/>
    <w:rsid w:val="000E30F4"/>
    <w:rsid w:val="000E57C4"/>
    <w:rsid w:val="000F1315"/>
    <w:rsid w:val="0010663A"/>
    <w:rsid w:val="00111E19"/>
    <w:rsid w:val="00112B5F"/>
    <w:rsid w:val="001141F8"/>
    <w:rsid w:val="00133E2C"/>
    <w:rsid w:val="00144FEA"/>
    <w:rsid w:val="00147C4E"/>
    <w:rsid w:val="00155F49"/>
    <w:rsid w:val="00164EB9"/>
    <w:rsid w:val="001657E8"/>
    <w:rsid w:val="00191CE1"/>
    <w:rsid w:val="00193766"/>
    <w:rsid w:val="00197441"/>
    <w:rsid w:val="001A1DAD"/>
    <w:rsid w:val="001A66D1"/>
    <w:rsid w:val="001A724A"/>
    <w:rsid w:val="001A7C74"/>
    <w:rsid w:val="001A7D1C"/>
    <w:rsid w:val="001E7FB5"/>
    <w:rsid w:val="001F080D"/>
    <w:rsid w:val="001F60EB"/>
    <w:rsid w:val="0020093C"/>
    <w:rsid w:val="002112F7"/>
    <w:rsid w:val="00213C3B"/>
    <w:rsid w:val="00213FC0"/>
    <w:rsid w:val="0022362C"/>
    <w:rsid w:val="002305BE"/>
    <w:rsid w:val="00234CBE"/>
    <w:rsid w:val="00236D84"/>
    <w:rsid w:val="00245AFE"/>
    <w:rsid w:val="00265084"/>
    <w:rsid w:val="00271C81"/>
    <w:rsid w:val="002A5BA2"/>
    <w:rsid w:val="002D0D05"/>
    <w:rsid w:val="002D23DA"/>
    <w:rsid w:val="002D2C9E"/>
    <w:rsid w:val="00310CCF"/>
    <w:rsid w:val="0031751A"/>
    <w:rsid w:val="00334FF5"/>
    <w:rsid w:val="0033664C"/>
    <w:rsid w:val="00337A56"/>
    <w:rsid w:val="003410C7"/>
    <w:rsid w:val="00350A11"/>
    <w:rsid w:val="00353437"/>
    <w:rsid w:val="00357F49"/>
    <w:rsid w:val="003639DA"/>
    <w:rsid w:val="003643D3"/>
    <w:rsid w:val="00365712"/>
    <w:rsid w:val="0037301E"/>
    <w:rsid w:val="003736DB"/>
    <w:rsid w:val="0039318E"/>
    <w:rsid w:val="003932BF"/>
    <w:rsid w:val="00397F5B"/>
    <w:rsid w:val="003A060E"/>
    <w:rsid w:val="003A06E2"/>
    <w:rsid w:val="003A3153"/>
    <w:rsid w:val="003A65E3"/>
    <w:rsid w:val="003B5EE1"/>
    <w:rsid w:val="003C6138"/>
    <w:rsid w:val="003D1E9F"/>
    <w:rsid w:val="003D613D"/>
    <w:rsid w:val="003E78E6"/>
    <w:rsid w:val="003F14A4"/>
    <w:rsid w:val="003F22C0"/>
    <w:rsid w:val="003F6CFC"/>
    <w:rsid w:val="0040296E"/>
    <w:rsid w:val="004116A7"/>
    <w:rsid w:val="0041582A"/>
    <w:rsid w:val="004212D0"/>
    <w:rsid w:val="00422CF2"/>
    <w:rsid w:val="004310B8"/>
    <w:rsid w:val="004319BB"/>
    <w:rsid w:val="00450E64"/>
    <w:rsid w:val="004514A5"/>
    <w:rsid w:val="00465473"/>
    <w:rsid w:val="00471E0D"/>
    <w:rsid w:val="00491FBD"/>
    <w:rsid w:val="004972C6"/>
    <w:rsid w:val="004B17AD"/>
    <w:rsid w:val="004B363E"/>
    <w:rsid w:val="004C5AFA"/>
    <w:rsid w:val="00500ADA"/>
    <w:rsid w:val="00513568"/>
    <w:rsid w:val="00523686"/>
    <w:rsid w:val="00525184"/>
    <w:rsid w:val="00534CD5"/>
    <w:rsid w:val="005569B1"/>
    <w:rsid w:val="00573503"/>
    <w:rsid w:val="005821D7"/>
    <w:rsid w:val="005830C2"/>
    <w:rsid w:val="005869B2"/>
    <w:rsid w:val="00593D5F"/>
    <w:rsid w:val="00593E79"/>
    <w:rsid w:val="005A29EA"/>
    <w:rsid w:val="005B1091"/>
    <w:rsid w:val="005C78CF"/>
    <w:rsid w:val="005E4142"/>
    <w:rsid w:val="005F0487"/>
    <w:rsid w:val="00603564"/>
    <w:rsid w:val="00604E8C"/>
    <w:rsid w:val="00605716"/>
    <w:rsid w:val="00616F03"/>
    <w:rsid w:val="00633EB4"/>
    <w:rsid w:val="00653976"/>
    <w:rsid w:val="00664540"/>
    <w:rsid w:val="006762FD"/>
    <w:rsid w:val="00681498"/>
    <w:rsid w:val="00690A16"/>
    <w:rsid w:val="00694D07"/>
    <w:rsid w:val="006A13D3"/>
    <w:rsid w:val="006A3E5C"/>
    <w:rsid w:val="006C3C08"/>
    <w:rsid w:val="006D3449"/>
    <w:rsid w:val="006F0DAD"/>
    <w:rsid w:val="006F6517"/>
    <w:rsid w:val="006F773A"/>
    <w:rsid w:val="007003A8"/>
    <w:rsid w:val="00705B7D"/>
    <w:rsid w:val="00707734"/>
    <w:rsid w:val="00712026"/>
    <w:rsid w:val="0075576B"/>
    <w:rsid w:val="007604AC"/>
    <w:rsid w:val="00764AA4"/>
    <w:rsid w:val="0076785C"/>
    <w:rsid w:val="007760CD"/>
    <w:rsid w:val="00782E6E"/>
    <w:rsid w:val="00790A4D"/>
    <w:rsid w:val="00792C23"/>
    <w:rsid w:val="007B4371"/>
    <w:rsid w:val="007C49EC"/>
    <w:rsid w:val="007C7F14"/>
    <w:rsid w:val="007D57A4"/>
    <w:rsid w:val="007E1056"/>
    <w:rsid w:val="007E14FB"/>
    <w:rsid w:val="007E1F0F"/>
    <w:rsid w:val="007E423C"/>
    <w:rsid w:val="007E5EB4"/>
    <w:rsid w:val="007F3D6B"/>
    <w:rsid w:val="0080780C"/>
    <w:rsid w:val="008242F4"/>
    <w:rsid w:val="0082714E"/>
    <w:rsid w:val="00835F70"/>
    <w:rsid w:val="00844553"/>
    <w:rsid w:val="00847D9D"/>
    <w:rsid w:val="00874B1B"/>
    <w:rsid w:val="00874CB4"/>
    <w:rsid w:val="00876E16"/>
    <w:rsid w:val="00881070"/>
    <w:rsid w:val="008837C1"/>
    <w:rsid w:val="008972D2"/>
    <w:rsid w:val="00897453"/>
    <w:rsid w:val="008A1FE2"/>
    <w:rsid w:val="008B02ED"/>
    <w:rsid w:val="008B72A7"/>
    <w:rsid w:val="008C2FE1"/>
    <w:rsid w:val="008D02FB"/>
    <w:rsid w:val="008D5BBA"/>
    <w:rsid w:val="008D64C8"/>
    <w:rsid w:val="008E592B"/>
    <w:rsid w:val="008F77EE"/>
    <w:rsid w:val="009069F8"/>
    <w:rsid w:val="00926D22"/>
    <w:rsid w:val="00930505"/>
    <w:rsid w:val="00934003"/>
    <w:rsid w:val="009351FB"/>
    <w:rsid w:val="00936275"/>
    <w:rsid w:val="00943771"/>
    <w:rsid w:val="00946771"/>
    <w:rsid w:val="00946A53"/>
    <w:rsid w:val="00956F66"/>
    <w:rsid w:val="009A7670"/>
    <w:rsid w:val="009B434A"/>
    <w:rsid w:val="009B48CA"/>
    <w:rsid w:val="009B5C5B"/>
    <w:rsid w:val="009C1588"/>
    <w:rsid w:val="009D15F7"/>
    <w:rsid w:val="009D4079"/>
    <w:rsid w:val="009E0CE1"/>
    <w:rsid w:val="00A2271F"/>
    <w:rsid w:val="00A463A4"/>
    <w:rsid w:val="00A57A18"/>
    <w:rsid w:val="00A61CC5"/>
    <w:rsid w:val="00A817FA"/>
    <w:rsid w:val="00A923AF"/>
    <w:rsid w:val="00AA2A1A"/>
    <w:rsid w:val="00AA6A49"/>
    <w:rsid w:val="00AC49F5"/>
    <w:rsid w:val="00AD6F13"/>
    <w:rsid w:val="00AD6FC9"/>
    <w:rsid w:val="00AE164A"/>
    <w:rsid w:val="00AE5E36"/>
    <w:rsid w:val="00AF40CB"/>
    <w:rsid w:val="00B00153"/>
    <w:rsid w:val="00B0406E"/>
    <w:rsid w:val="00B211F8"/>
    <w:rsid w:val="00B2265C"/>
    <w:rsid w:val="00B314B3"/>
    <w:rsid w:val="00B475ED"/>
    <w:rsid w:val="00B54317"/>
    <w:rsid w:val="00B6648D"/>
    <w:rsid w:val="00B93FDA"/>
    <w:rsid w:val="00B976C3"/>
    <w:rsid w:val="00BA1E0C"/>
    <w:rsid w:val="00BA1F67"/>
    <w:rsid w:val="00BA43BA"/>
    <w:rsid w:val="00BA6282"/>
    <w:rsid w:val="00BB3742"/>
    <w:rsid w:val="00BC006B"/>
    <w:rsid w:val="00BE1E6F"/>
    <w:rsid w:val="00BE210A"/>
    <w:rsid w:val="00BE43CD"/>
    <w:rsid w:val="00BF6BBE"/>
    <w:rsid w:val="00C00D16"/>
    <w:rsid w:val="00C104C7"/>
    <w:rsid w:val="00C372B4"/>
    <w:rsid w:val="00C575CA"/>
    <w:rsid w:val="00C779AA"/>
    <w:rsid w:val="00C77C38"/>
    <w:rsid w:val="00C97154"/>
    <w:rsid w:val="00CA376B"/>
    <w:rsid w:val="00CA72BE"/>
    <w:rsid w:val="00CB5B82"/>
    <w:rsid w:val="00CD39BC"/>
    <w:rsid w:val="00CE1EBB"/>
    <w:rsid w:val="00CE5101"/>
    <w:rsid w:val="00CE6E13"/>
    <w:rsid w:val="00CE73C4"/>
    <w:rsid w:val="00D06D77"/>
    <w:rsid w:val="00D14966"/>
    <w:rsid w:val="00D16C6E"/>
    <w:rsid w:val="00D26DA2"/>
    <w:rsid w:val="00D43261"/>
    <w:rsid w:val="00D56B61"/>
    <w:rsid w:val="00D71BB6"/>
    <w:rsid w:val="00D8187E"/>
    <w:rsid w:val="00D90E31"/>
    <w:rsid w:val="00DB0797"/>
    <w:rsid w:val="00DB0DAE"/>
    <w:rsid w:val="00DB405A"/>
    <w:rsid w:val="00DC04AF"/>
    <w:rsid w:val="00DC5171"/>
    <w:rsid w:val="00DC79FC"/>
    <w:rsid w:val="00DF7460"/>
    <w:rsid w:val="00E27D6C"/>
    <w:rsid w:val="00E41D4E"/>
    <w:rsid w:val="00E42E3E"/>
    <w:rsid w:val="00E42F22"/>
    <w:rsid w:val="00E50FB6"/>
    <w:rsid w:val="00E60028"/>
    <w:rsid w:val="00E63196"/>
    <w:rsid w:val="00E64FB0"/>
    <w:rsid w:val="00E73269"/>
    <w:rsid w:val="00E73A5C"/>
    <w:rsid w:val="00E91B11"/>
    <w:rsid w:val="00EA1D11"/>
    <w:rsid w:val="00EA3A60"/>
    <w:rsid w:val="00EB04D2"/>
    <w:rsid w:val="00EC4917"/>
    <w:rsid w:val="00EC5B48"/>
    <w:rsid w:val="00ED0663"/>
    <w:rsid w:val="00EF3790"/>
    <w:rsid w:val="00F141C9"/>
    <w:rsid w:val="00F14478"/>
    <w:rsid w:val="00F16D5F"/>
    <w:rsid w:val="00F26F23"/>
    <w:rsid w:val="00F33DA8"/>
    <w:rsid w:val="00F34ACF"/>
    <w:rsid w:val="00F474CB"/>
    <w:rsid w:val="00F47572"/>
    <w:rsid w:val="00F47CBB"/>
    <w:rsid w:val="00FB343A"/>
    <w:rsid w:val="00FB72C4"/>
    <w:rsid w:val="00FC1258"/>
    <w:rsid w:val="00FE4903"/>
    <w:rsid w:val="3632416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28"/>
    <w:qFormat/>
    <w:uiPriority w:val="9"/>
    <w:pPr>
      <w:keepNext/>
      <w:keepLines/>
      <w:spacing w:before="340" w:after="330" w:line="578" w:lineRule="auto"/>
      <w:outlineLvl w:val="0"/>
    </w:pPr>
    <w:rPr>
      <w:b/>
      <w:bCs/>
      <w:kern w:val="44"/>
      <w:sz w:val="44"/>
      <w:szCs w:val="44"/>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4"/>
    <w:semiHidden/>
    <w:unhideWhenUsed/>
    <w:qFormat/>
    <w:uiPriority w:val="99"/>
    <w:pPr>
      <w:jc w:val="left"/>
    </w:pPr>
  </w:style>
  <w:style w:type="paragraph" w:styleId="4">
    <w:name w:val="Body Text Indent"/>
    <w:basedOn w:val="1"/>
    <w:uiPriority w:val="0"/>
    <w:pPr>
      <w:ind w:left="363" w:hanging="363" w:hangingChars="173"/>
    </w:pPr>
    <w:rPr>
      <w:rFonts w:ascii="Times New Roman" w:hAnsi="Times New Roman"/>
      <w:szCs w:val="24"/>
    </w:rPr>
  </w:style>
  <w:style w:type="paragraph" w:styleId="5">
    <w:name w:val="Balloon Text"/>
    <w:basedOn w:val="1"/>
    <w:link w:val="23"/>
    <w:semiHidden/>
    <w:unhideWhenUsed/>
    <w:uiPriority w:val="99"/>
    <w:rPr>
      <w:sz w:val="18"/>
      <w:szCs w:val="18"/>
    </w:rPr>
  </w:style>
  <w:style w:type="paragraph" w:styleId="6">
    <w:name w:val="footer"/>
    <w:basedOn w:val="1"/>
    <w:link w:val="17"/>
    <w:unhideWhenUsed/>
    <w:uiPriority w:val="99"/>
    <w:pPr>
      <w:tabs>
        <w:tab w:val="center" w:pos="4153"/>
        <w:tab w:val="right" w:pos="8306"/>
      </w:tabs>
      <w:snapToGrid w:val="0"/>
      <w:jc w:val="left"/>
    </w:pPr>
    <w:rPr>
      <w:kern w:val="0"/>
      <w:sz w:val="18"/>
      <w:szCs w:val="18"/>
    </w:rPr>
  </w:style>
  <w:style w:type="paragraph" w:styleId="7">
    <w:name w:val="header"/>
    <w:basedOn w:val="1"/>
    <w:link w:val="16"/>
    <w:unhideWhenUsed/>
    <w:uiPriority w:val="99"/>
    <w:pPr>
      <w:pBdr>
        <w:bottom w:val="single" w:color="auto" w:sz="6" w:space="1"/>
      </w:pBdr>
      <w:tabs>
        <w:tab w:val="center" w:pos="4153"/>
        <w:tab w:val="right" w:pos="8306"/>
      </w:tabs>
      <w:snapToGrid w:val="0"/>
      <w:jc w:val="center"/>
    </w:pPr>
    <w:rPr>
      <w:kern w:val="0"/>
      <w:sz w:val="18"/>
      <w:szCs w:val="18"/>
    </w:rPr>
  </w:style>
  <w:style w:type="paragraph" w:styleId="8">
    <w:name w:val="Normal (Web)"/>
    <w:basedOn w:val="1"/>
    <w:uiPriority w:val="0"/>
    <w:pPr>
      <w:widowControl/>
      <w:spacing w:before="100" w:beforeAutospacing="1" w:after="100" w:afterAutospacing="1"/>
      <w:jc w:val="left"/>
    </w:pPr>
    <w:rPr>
      <w:rFonts w:ascii="ˎ̥" w:hAnsi="ˎ̥" w:cs="宋体"/>
      <w:kern w:val="0"/>
      <w:sz w:val="24"/>
      <w:szCs w:val="24"/>
    </w:rPr>
  </w:style>
  <w:style w:type="paragraph" w:styleId="9">
    <w:name w:val="annotation subject"/>
    <w:basedOn w:val="3"/>
    <w:next w:val="3"/>
    <w:link w:val="25"/>
    <w:semiHidden/>
    <w:unhideWhenUsed/>
    <w:qFormat/>
    <w:uiPriority w:val="99"/>
    <w:rPr>
      <w:b/>
      <w:bCs/>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Hyperlink"/>
    <w:uiPriority w:val="0"/>
    <w:rPr>
      <w:color w:val="0000FF"/>
      <w:u w:val="single"/>
    </w:rPr>
  </w:style>
  <w:style w:type="character" w:styleId="14">
    <w:name w:val="annotation reference"/>
    <w:semiHidden/>
    <w:unhideWhenUsed/>
    <w:qFormat/>
    <w:uiPriority w:val="99"/>
    <w:rPr>
      <w:sz w:val="21"/>
      <w:szCs w:val="21"/>
    </w:rPr>
  </w:style>
  <w:style w:type="paragraph" w:styleId="15">
    <w:name w:val="List Paragraph"/>
    <w:basedOn w:val="1"/>
    <w:qFormat/>
    <w:uiPriority w:val="34"/>
    <w:pPr>
      <w:ind w:firstLine="420" w:firstLineChars="200"/>
    </w:pPr>
  </w:style>
  <w:style w:type="character" w:customStyle="1" w:styleId="16">
    <w:name w:val="页眉 Char"/>
    <w:link w:val="7"/>
    <w:uiPriority w:val="99"/>
    <w:rPr>
      <w:sz w:val="18"/>
      <w:szCs w:val="18"/>
    </w:rPr>
  </w:style>
  <w:style w:type="character" w:customStyle="1" w:styleId="17">
    <w:name w:val="页脚 Char"/>
    <w:link w:val="6"/>
    <w:uiPriority w:val="99"/>
    <w:rPr>
      <w:sz w:val="18"/>
      <w:szCs w:val="18"/>
    </w:rPr>
  </w:style>
  <w:style w:type="paragraph" w:customStyle="1" w:styleId="18">
    <w:name w:val="dash6b63-6587"/>
    <w:basedOn w:val="1"/>
    <w:uiPriority w:val="0"/>
    <w:pPr>
      <w:widowControl/>
      <w:spacing w:before="100" w:beforeAutospacing="1" w:after="100" w:afterAutospacing="1"/>
      <w:jc w:val="left"/>
    </w:pPr>
    <w:rPr>
      <w:rFonts w:ascii="ˎ̥" w:hAnsi="ˎ̥" w:cs="宋体"/>
      <w:kern w:val="0"/>
      <w:sz w:val="24"/>
      <w:szCs w:val="24"/>
    </w:rPr>
  </w:style>
  <w:style w:type="character" w:customStyle="1" w:styleId="19">
    <w:name w:val="dash6b63-6587--char"/>
    <w:basedOn w:val="12"/>
    <w:uiPriority w:val="0"/>
  </w:style>
  <w:style w:type="paragraph" w:customStyle="1" w:styleId="20">
    <w:name w:val="style2"/>
    <w:basedOn w:val="1"/>
    <w:qFormat/>
    <w:uiPriority w:val="0"/>
    <w:pPr>
      <w:widowControl/>
      <w:spacing w:before="100" w:beforeAutospacing="1" w:after="100" w:afterAutospacing="1"/>
      <w:jc w:val="left"/>
    </w:pPr>
    <w:rPr>
      <w:rFonts w:ascii="宋体" w:hAnsi="宋体" w:cs="宋体"/>
      <w:b/>
      <w:bCs/>
      <w:color w:val="9900FF"/>
      <w:kern w:val="0"/>
      <w:sz w:val="24"/>
      <w:szCs w:val="24"/>
    </w:rPr>
  </w:style>
  <w:style w:type="paragraph" w:styleId="21">
    <w:name w:val="No Spacing"/>
    <w:link w:val="22"/>
    <w:qFormat/>
    <w:uiPriority w:val="1"/>
    <w:rPr>
      <w:rFonts w:ascii="Calibri" w:hAnsi="Calibri" w:eastAsia="宋体" w:cs="Times New Roman"/>
      <w:sz w:val="22"/>
      <w:szCs w:val="22"/>
      <w:lang w:val="en-US" w:eastAsia="zh-CN" w:bidi="ar-SA"/>
    </w:rPr>
  </w:style>
  <w:style w:type="character" w:customStyle="1" w:styleId="22">
    <w:name w:val="无间隔 Char"/>
    <w:link w:val="21"/>
    <w:uiPriority w:val="1"/>
    <w:rPr>
      <w:sz w:val="22"/>
      <w:szCs w:val="22"/>
      <w:lang w:val="en-US" w:eastAsia="zh-CN" w:bidi="ar-SA"/>
    </w:rPr>
  </w:style>
  <w:style w:type="character" w:customStyle="1" w:styleId="23">
    <w:name w:val="批注框文本 Char"/>
    <w:link w:val="5"/>
    <w:semiHidden/>
    <w:uiPriority w:val="99"/>
    <w:rPr>
      <w:kern w:val="2"/>
      <w:sz w:val="18"/>
      <w:szCs w:val="18"/>
    </w:rPr>
  </w:style>
  <w:style w:type="character" w:customStyle="1" w:styleId="24">
    <w:name w:val="批注文字 Char"/>
    <w:link w:val="3"/>
    <w:semiHidden/>
    <w:qFormat/>
    <w:uiPriority w:val="99"/>
    <w:rPr>
      <w:kern w:val="2"/>
      <w:sz w:val="21"/>
      <w:szCs w:val="22"/>
    </w:rPr>
  </w:style>
  <w:style w:type="character" w:customStyle="1" w:styleId="25">
    <w:name w:val="批注主题 Char"/>
    <w:link w:val="9"/>
    <w:semiHidden/>
    <w:qFormat/>
    <w:uiPriority w:val="99"/>
    <w:rPr>
      <w:b/>
      <w:bCs/>
      <w:kern w:val="2"/>
      <w:sz w:val="21"/>
      <w:szCs w:val="22"/>
    </w:rPr>
  </w:style>
  <w:style w:type="paragraph" w:customStyle="1" w:styleId="26">
    <w:name w:val="列出段落1"/>
    <w:basedOn w:val="1"/>
    <w:qFormat/>
    <w:uiPriority w:val="0"/>
    <w:pPr>
      <w:ind w:firstLine="420" w:firstLineChars="200"/>
    </w:pPr>
    <w:rPr>
      <w:rFonts w:cs="Calibri"/>
      <w:szCs w:val="21"/>
    </w:rPr>
  </w:style>
  <w:style w:type="paragraph" w:customStyle="1" w:styleId="27">
    <w:name w:val="p0"/>
    <w:basedOn w:val="1"/>
    <w:qFormat/>
    <w:uiPriority w:val="99"/>
    <w:pPr>
      <w:widowControl/>
    </w:pPr>
    <w:rPr>
      <w:rFonts w:ascii="Times New Roman" w:hAnsi="Times New Roman"/>
      <w:kern w:val="0"/>
      <w:szCs w:val="21"/>
    </w:rPr>
  </w:style>
  <w:style w:type="character" w:customStyle="1" w:styleId="28">
    <w:name w:val="标题 1 Char"/>
    <w:basedOn w:val="12"/>
    <w:link w:val="2"/>
    <w:qFormat/>
    <w:uiPriority w:val="9"/>
    <w:rPr>
      <w:b/>
      <w:bCs/>
      <w:kern w:val="44"/>
      <w:sz w:val="44"/>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7</Pages>
  <Words>4612</Words>
  <Characters>4712</Characters>
  <Lines>36</Lines>
  <Paragraphs>10</Paragraphs>
  <TotalTime>128</TotalTime>
  <ScaleCrop>false</ScaleCrop>
  <LinksUpToDate>false</LinksUpToDate>
  <CharactersWithSpaces>4769</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2022-10-04T03:56:00Z</dcterms:created>
  <dc:creator>微软用户</dc:creator>
  <cp:lastModifiedBy>Administrator</cp:lastModifiedBy>
  <cp:lastPrinted>2013-11-05T02:02:00Z</cp:lastPrinted>
  <dcterms:modified xsi:type="dcterms:W3CDTF">2024-06-26T00:53:21Z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EDB8BFA0475744EA9A2F4F75E754F61F_12</vt:lpwstr>
  </property>
</Properties>
</file>